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C46476" w:rsidRDefault="006C2A3F" w:rsidP="00E127B6">
      <w:pPr>
        <w:pStyle w:val="Bezodstpw"/>
        <w:rPr>
          <w:rFonts w:ascii="Verdana" w:hAnsi="Verdana"/>
        </w:rPr>
      </w:pPr>
      <w:r w:rsidRPr="00053A08">
        <w:rPr>
          <w:rFonts w:ascii="Verdana" w:hAnsi="Verdana"/>
        </w:rPr>
        <w:t xml:space="preserve">a </w:t>
      </w:r>
    </w:p>
    <w:p w:rsidR="00E127B6" w:rsidRPr="00053A08" w:rsidRDefault="006C2A3F" w:rsidP="00E127B6">
      <w:pPr>
        <w:pStyle w:val="Bezodstpw"/>
        <w:rPr>
          <w:rFonts w:ascii="Verdana" w:hAnsi="Verdana"/>
        </w:rPr>
      </w:pPr>
      <w:r w:rsidRPr="00053A08">
        <w:rPr>
          <w:rFonts w:ascii="Verdana" w:hAnsi="Verdana"/>
        </w:rPr>
        <w:t xml:space="preserve">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D0327A">
      <w:pPr>
        <w:jc w:val="both"/>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 xml:space="preserve">wykonanie: </w:t>
      </w:r>
      <w:r w:rsidR="00D0327A">
        <w:rPr>
          <w:rFonts w:ascii="Verdana" w:eastAsia="Times New Roman" w:hAnsi="Verdana" w:cs="Arial"/>
        </w:rPr>
        <w:t>„</w:t>
      </w:r>
      <w:r w:rsidR="00D0327A" w:rsidRPr="0088302A">
        <w:rPr>
          <w:rFonts w:ascii="Verdana" w:hAnsi="Verdana"/>
          <w:b/>
        </w:rPr>
        <w:t>Przeb</w:t>
      </w:r>
      <w:r w:rsidR="000764C0">
        <w:rPr>
          <w:rFonts w:ascii="Verdana" w:hAnsi="Verdana"/>
          <w:b/>
        </w:rPr>
        <w:t>udowa ulicy Malinowej w  Zieleniewie</w:t>
      </w:r>
      <w:r w:rsidR="00D0327A">
        <w:rPr>
          <w:rFonts w:ascii="Verdana" w:hAnsi="Verdana"/>
          <w:b/>
        </w:rPr>
        <w:t>”</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r w:rsidR="009D2C2D">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19418E"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577844" w:rsidRPr="0019418E">
        <w:rPr>
          <w:rFonts w:ascii="Verdana" w:hAnsi="Verdana"/>
          <w:b/>
        </w:rPr>
        <w:t>16.09</w:t>
      </w:r>
      <w:r w:rsidR="00A63008" w:rsidRPr="0019418E">
        <w:rPr>
          <w:rFonts w:ascii="Verdana" w:hAnsi="Verdana"/>
          <w:b/>
        </w:rPr>
        <w:t>.2016</w:t>
      </w:r>
      <w:r w:rsidRPr="0019418E">
        <w:rPr>
          <w:rFonts w:ascii="Verdana" w:hAnsi="Verdana"/>
          <w:b/>
        </w:rPr>
        <w:t>r</w:t>
      </w:r>
      <w:r w:rsidRPr="0019418E">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9D2C2D" w:rsidRDefault="009D2C2D" w:rsidP="006C2A3F">
      <w:pPr>
        <w:spacing w:before="120" w:after="120"/>
        <w:jc w:val="center"/>
        <w:rPr>
          <w:rFonts w:ascii="Verdana" w:hAnsi="Verdana"/>
          <w:b/>
        </w:rPr>
      </w:pPr>
    </w:p>
    <w:p w:rsidR="009D2C2D" w:rsidRDefault="009D2C2D"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lastRenderedPageBreak/>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Podstawą zgłoszenia przez Wykonawcę gotowości do odbioru końcowego, będzie faktyczne wykonanie robót, potwierdzone w Dzienniku budowy wpisem </w:t>
      </w:r>
      <w:r w:rsidRPr="00053A08">
        <w:rPr>
          <w:rFonts w:ascii="Verdana" w:hAnsi="Verdana"/>
        </w:rPr>
        <w:lastRenderedPageBreak/>
        <w:t>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9D2C2D" w:rsidRDefault="009D2C2D" w:rsidP="009D2C2D">
      <w:pPr>
        <w:spacing w:before="120" w:after="120"/>
        <w:rPr>
          <w:rFonts w:ascii="Verdana" w:hAnsi="Verdana"/>
          <w:b/>
        </w:rPr>
      </w:pPr>
    </w:p>
    <w:p w:rsidR="00A67022" w:rsidRPr="00053A08" w:rsidRDefault="00A67022" w:rsidP="009D2C2D">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 xml:space="preserve">Wystąpi istotna zmiana okoliczności powodująca, że wykonanie umowy nie leży w interesie publicznym, czego nie można było przewidzieć w chwili zawarcia umowy – odstąpienie od umowy w tym przypadku może nastąpić </w:t>
      </w:r>
      <w:r w:rsidRPr="00053A08">
        <w:rPr>
          <w:rFonts w:ascii="Verdana" w:hAnsi="Verdana"/>
          <w:sz w:val="22"/>
          <w:szCs w:val="22"/>
        </w:rPr>
        <w:lastRenderedPageBreak/>
        <w:t>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Zamawiającego Wykonawca jest zobowiązany niezwłocznie zorganizować usunięcie sprzętu i robót 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lastRenderedPageBreak/>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kalendarzowych licząc od dnia doręczenia mu projektu Umowy o podwykonawstwo. Jeżeli Zamawiający w powyższym terminie nie zgłosi na </w:t>
      </w:r>
      <w:r w:rsidRPr="00053A08">
        <w:rPr>
          <w:rFonts w:ascii="Verdana" w:hAnsi="Verdana" w:cs="Arial"/>
        </w:rPr>
        <w:lastRenderedPageBreak/>
        <w:t>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w:t>
      </w:r>
      <w:r w:rsidRPr="00053A08">
        <w:rPr>
          <w:rFonts w:ascii="Verdana" w:hAnsi="Verdana" w:cs="Arial"/>
        </w:rPr>
        <w:lastRenderedPageBreak/>
        <w:t>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w:t>
      </w:r>
      <w:r w:rsidRPr="00053A08">
        <w:rPr>
          <w:rFonts w:ascii="Verdana" w:hAnsi="Verdana" w:cs="Arial"/>
        </w:rPr>
        <w:lastRenderedPageBreak/>
        <w:t xml:space="preserve">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W przypadku, gdy Podwykonawcy lub dalsi Podwykonawcy, uprawnieni do uzyskania od Zamawiającego płatności bezpośrednich, nie wystawili żadnych rachunków lub faktur VAT w danym okresie rozliczeniowym, i Wykonawca </w:t>
      </w:r>
      <w:r w:rsidRPr="00053A08">
        <w:rPr>
          <w:rFonts w:ascii="Verdana" w:hAnsi="Verdana" w:cs="Arial"/>
        </w:rPr>
        <w:lastRenderedPageBreak/>
        <w:t>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lastRenderedPageBreak/>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niebezpieczeństwa kolizji z planowanymi lub równolegle prowadzonymi przez inne podmioty inwestycjami 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lastRenderedPageBreak/>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Default="00B21C40" w:rsidP="006C2A3F">
      <w:pPr>
        <w:pStyle w:val="Tekstpodstawowy2"/>
        <w:jc w:val="center"/>
        <w:rPr>
          <w:rFonts w:ascii="Verdana" w:hAnsi="Verdana"/>
          <w:sz w:val="22"/>
          <w:szCs w:val="22"/>
        </w:rPr>
      </w:pPr>
      <w:r>
        <w:rPr>
          <w:rFonts w:ascii="Verdana" w:hAnsi="Verdana"/>
          <w:sz w:val="22"/>
          <w:szCs w:val="22"/>
        </w:rPr>
        <w:t>§ 14</w:t>
      </w:r>
    </w:p>
    <w:p w:rsidR="00F90CD1" w:rsidRPr="00053A08" w:rsidRDefault="00F90CD1" w:rsidP="006C2A3F">
      <w:pPr>
        <w:pStyle w:val="Tekstpodstawowy2"/>
        <w:jc w:val="center"/>
        <w:rPr>
          <w:rFonts w:ascii="Verdana" w:hAnsi="Verdana"/>
          <w:sz w:val="22"/>
          <w:szCs w:val="22"/>
        </w:rPr>
      </w:pP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904" w:rsidRDefault="000D6904" w:rsidP="006C2A3F">
      <w:pPr>
        <w:spacing w:after="0" w:line="240" w:lineRule="auto"/>
      </w:pPr>
      <w:r>
        <w:separator/>
      </w:r>
    </w:p>
  </w:endnote>
  <w:endnote w:type="continuationSeparator" w:id="0">
    <w:p w:rsidR="000D6904" w:rsidRDefault="000D6904"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3D52F1"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0D690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0D6904"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3D52F1" w:rsidRPr="00E34920">
      <w:rPr>
        <w:rStyle w:val="Numerstrony"/>
        <w:i/>
      </w:rPr>
      <w:fldChar w:fldCharType="begin"/>
    </w:r>
    <w:r w:rsidRPr="00E34920">
      <w:rPr>
        <w:rStyle w:val="Numerstrony"/>
        <w:i/>
      </w:rPr>
      <w:instrText xml:space="preserve">PAGE  </w:instrText>
    </w:r>
    <w:r w:rsidR="003D52F1" w:rsidRPr="00E34920">
      <w:rPr>
        <w:rStyle w:val="Numerstrony"/>
        <w:i/>
      </w:rPr>
      <w:fldChar w:fldCharType="separate"/>
    </w:r>
    <w:r w:rsidR="0019418E">
      <w:rPr>
        <w:rStyle w:val="Numerstrony"/>
        <w:i/>
        <w:noProof/>
      </w:rPr>
      <w:t>18</w:t>
    </w:r>
    <w:r w:rsidR="003D52F1" w:rsidRPr="00E34920">
      <w:rPr>
        <w:rStyle w:val="Numerstrony"/>
        <w:i/>
      </w:rPr>
      <w:fldChar w:fldCharType="end"/>
    </w:r>
  </w:p>
  <w:p w:rsidR="002C04D0" w:rsidRDefault="000D69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904" w:rsidRDefault="000D6904" w:rsidP="006C2A3F">
      <w:pPr>
        <w:spacing w:after="0" w:line="240" w:lineRule="auto"/>
      </w:pPr>
      <w:r>
        <w:separator/>
      </w:r>
    </w:p>
  </w:footnote>
  <w:footnote w:type="continuationSeparator" w:id="0">
    <w:p w:rsidR="000D6904" w:rsidRDefault="000D6904"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635FF"/>
    <w:rsid w:val="000764C0"/>
    <w:rsid w:val="000A6495"/>
    <w:rsid w:val="000B016A"/>
    <w:rsid w:val="000D6904"/>
    <w:rsid w:val="000E0F46"/>
    <w:rsid w:val="000F5D4A"/>
    <w:rsid w:val="00112F3F"/>
    <w:rsid w:val="00137AAE"/>
    <w:rsid w:val="00140955"/>
    <w:rsid w:val="001553E1"/>
    <w:rsid w:val="001602F2"/>
    <w:rsid w:val="00175692"/>
    <w:rsid w:val="00184786"/>
    <w:rsid w:val="00184BC6"/>
    <w:rsid w:val="00192B8D"/>
    <w:rsid w:val="0019418E"/>
    <w:rsid w:val="001A05F3"/>
    <w:rsid w:val="001A0981"/>
    <w:rsid w:val="001A2AB3"/>
    <w:rsid w:val="001A4E1D"/>
    <w:rsid w:val="00214800"/>
    <w:rsid w:val="0022055A"/>
    <w:rsid w:val="00256D90"/>
    <w:rsid w:val="00280B33"/>
    <w:rsid w:val="0028120E"/>
    <w:rsid w:val="002A2161"/>
    <w:rsid w:val="002B701D"/>
    <w:rsid w:val="002D7F75"/>
    <w:rsid w:val="00303167"/>
    <w:rsid w:val="00330DC1"/>
    <w:rsid w:val="00352AB5"/>
    <w:rsid w:val="00375E49"/>
    <w:rsid w:val="00394725"/>
    <w:rsid w:val="00396232"/>
    <w:rsid w:val="003A271E"/>
    <w:rsid w:val="003B799E"/>
    <w:rsid w:val="003D52F1"/>
    <w:rsid w:val="003E0300"/>
    <w:rsid w:val="00403E56"/>
    <w:rsid w:val="00480377"/>
    <w:rsid w:val="004922E3"/>
    <w:rsid w:val="004A54D5"/>
    <w:rsid w:val="004A74D8"/>
    <w:rsid w:val="004F0A32"/>
    <w:rsid w:val="004F5BCD"/>
    <w:rsid w:val="00570C8C"/>
    <w:rsid w:val="00575941"/>
    <w:rsid w:val="00577844"/>
    <w:rsid w:val="00582EDF"/>
    <w:rsid w:val="00591617"/>
    <w:rsid w:val="00597146"/>
    <w:rsid w:val="005A0F37"/>
    <w:rsid w:val="005D457C"/>
    <w:rsid w:val="005E7DB1"/>
    <w:rsid w:val="005F0DC3"/>
    <w:rsid w:val="00616FF5"/>
    <w:rsid w:val="0067215D"/>
    <w:rsid w:val="006C2A3F"/>
    <w:rsid w:val="006D6E48"/>
    <w:rsid w:val="006E79D0"/>
    <w:rsid w:val="00730729"/>
    <w:rsid w:val="00732E84"/>
    <w:rsid w:val="00741D5A"/>
    <w:rsid w:val="007448E5"/>
    <w:rsid w:val="007559E8"/>
    <w:rsid w:val="00792E2B"/>
    <w:rsid w:val="007971FF"/>
    <w:rsid w:val="007A4901"/>
    <w:rsid w:val="007A778E"/>
    <w:rsid w:val="007D1227"/>
    <w:rsid w:val="007D4C13"/>
    <w:rsid w:val="007F2742"/>
    <w:rsid w:val="008040F5"/>
    <w:rsid w:val="008368B3"/>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6756F"/>
    <w:rsid w:val="00973163"/>
    <w:rsid w:val="009A406A"/>
    <w:rsid w:val="009B7DC8"/>
    <w:rsid w:val="009D2C2D"/>
    <w:rsid w:val="009D4AA4"/>
    <w:rsid w:val="009F4A07"/>
    <w:rsid w:val="00A11A69"/>
    <w:rsid w:val="00A50D5F"/>
    <w:rsid w:val="00A63008"/>
    <w:rsid w:val="00A67022"/>
    <w:rsid w:val="00A7615E"/>
    <w:rsid w:val="00AB0140"/>
    <w:rsid w:val="00AB2D1C"/>
    <w:rsid w:val="00AC7FF3"/>
    <w:rsid w:val="00AE0D9C"/>
    <w:rsid w:val="00AF7115"/>
    <w:rsid w:val="00B07785"/>
    <w:rsid w:val="00B15CAE"/>
    <w:rsid w:val="00B21C40"/>
    <w:rsid w:val="00B305E7"/>
    <w:rsid w:val="00B5317B"/>
    <w:rsid w:val="00B53365"/>
    <w:rsid w:val="00B8201A"/>
    <w:rsid w:val="00B93B0E"/>
    <w:rsid w:val="00BA6AEB"/>
    <w:rsid w:val="00BB16FB"/>
    <w:rsid w:val="00BB174D"/>
    <w:rsid w:val="00BD7BA8"/>
    <w:rsid w:val="00BE2906"/>
    <w:rsid w:val="00C0207C"/>
    <w:rsid w:val="00C237E8"/>
    <w:rsid w:val="00C25C5A"/>
    <w:rsid w:val="00C46476"/>
    <w:rsid w:val="00C758F6"/>
    <w:rsid w:val="00C967E4"/>
    <w:rsid w:val="00C97075"/>
    <w:rsid w:val="00CA447B"/>
    <w:rsid w:val="00CB5A5F"/>
    <w:rsid w:val="00CC0649"/>
    <w:rsid w:val="00CC1587"/>
    <w:rsid w:val="00CC3EBB"/>
    <w:rsid w:val="00CC5AFF"/>
    <w:rsid w:val="00CD2E3E"/>
    <w:rsid w:val="00CD7D0C"/>
    <w:rsid w:val="00CF1AEE"/>
    <w:rsid w:val="00D0327A"/>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357FE"/>
    <w:rsid w:val="00F435AE"/>
    <w:rsid w:val="00F56C0D"/>
    <w:rsid w:val="00F809BB"/>
    <w:rsid w:val="00F90CD1"/>
    <w:rsid w:val="00F9351E"/>
    <w:rsid w:val="00FA2BC2"/>
    <w:rsid w:val="00FC0243"/>
    <w:rsid w:val="00FD2814"/>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6BFA2-4005-4353-8339-8EB6065D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Pages>
  <Words>6336</Words>
  <Characters>38020</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17</cp:revision>
  <cp:lastPrinted>2016-04-21T08:41:00Z</cp:lastPrinted>
  <dcterms:created xsi:type="dcterms:W3CDTF">2016-01-26T15:31:00Z</dcterms:created>
  <dcterms:modified xsi:type="dcterms:W3CDTF">2016-04-21T08:42:00Z</dcterms:modified>
</cp:coreProperties>
</file>