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0" w:rsidRDefault="00E14140" w:rsidP="00E14140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E14140" w:rsidRDefault="00E14140" w:rsidP="00E1414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E14140" w:rsidRDefault="00E14140" w:rsidP="00E14140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E14140" w:rsidRDefault="00815F65" w:rsidP="00E14140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II</w:t>
      </w:r>
      <w:r w:rsidR="00E14140">
        <w:rPr>
          <w:rFonts w:ascii="Times New Roman" w:hAnsi="Times New Roman" w:cs="Times New Roman"/>
          <w:b w:val="0"/>
          <w:bCs w:val="0"/>
          <w:i w:val="0"/>
          <w:sz w:val="24"/>
        </w:rPr>
        <w:t xml:space="preserve">  przetarg ustny nieograniczony</w:t>
      </w:r>
    </w:p>
    <w:p w:rsidR="00E14140" w:rsidRDefault="00E14140" w:rsidP="00E14140"/>
    <w:p w:rsidR="00E14140" w:rsidRDefault="00E14140" w:rsidP="00E14140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1110"/>
        <w:gridCol w:w="1967"/>
        <w:gridCol w:w="1183"/>
        <w:gridCol w:w="1790"/>
        <w:gridCol w:w="1179"/>
        <w:gridCol w:w="1464"/>
      </w:tblGrid>
      <w:tr w:rsidR="00E14140" w:rsidTr="00E14140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tereny zabudowy usług.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Dźwirzynie, ok. 10 km od Kołobrzegu,  w odległości 500 m od morza, niezabudowane, działki posiadają możliwość podłączenia podstawowych instalacji, dostęp i dojazd do nieruchomości dobry, otoczenie korzystne, na gruncie występują zakrzaczenia i zadrzewienia.  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jest wolna od wszelkich długów, praw i innych roszczeń i obciążeń oraz prawo własności nie jest ograniczone roszczeniami osób trzecich. </w:t>
            </w:r>
            <w:r w:rsidR="00A529B7">
              <w:rPr>
                <w:sz w:val="20"/>
                <w:szCs w:val="20"/>
              </w:rPr>
              <w:t>Termin I przetargu: 30.10.2015r.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E14140" w:rsidRDefault="00E14140">
            <w:pPr>
              <w:spacing w:line="276" w:lineRule="auto"/>
            </w:pPr>
          </w:p>
        </w:tc>
      </w:tr>
      <w:tr w:rsidR="00E14140" w:rsidTr="00E14140">
        <w:trPr>
          <w:trHeight w:val="1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E14140" w:rsidRDefault="00E14140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E14140" w:rsidTr="00E1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665 ha"/>
              </w:smartTagPr>
              <w:r>
                <w:rPr>
                  <w:sz w:val="20"/>
                  <w:szCs w:val="20"/>
                </w:rPr>
                <w:t>0,5665 ha</w:t>
              </w:r>
            </w:smartTag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1.574.500,-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wielofunkcyjnych, mieszkalnictwo /C31 U, MW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236.200,-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15.750,-</w:t>
            </w:r>
          </w:p>
        </w:tc>
      </w:tr>
      <w:tr w:rsidR="00E14140" w:rsidTr="00E1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 w:rsidP="00E141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2.773.600,-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/C2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416.000,-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27.740,-</w:t>
            </w:r>
          </w:p>
        </w:tc>
      </w:tr>
      <w:tr w:rsidR="00E14140" w:rsidTr="00E1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 w:rsidP="00E141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2.359.100,-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353.900,-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23.600,-</w:t>
            </w:r>
          </w:p>
        </w:tc>
      </w:tr>
      <w:tr w:rsidR="00E14140" w:rsidTr="00E1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2.242.500,-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336.400,-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22.430,-</w:t>
            </w:r>
          </w:p>
        </w:tc>
      </w:tr>
      <w:tr w:rsidR="00E14140" w:rsidTr="00E1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2.496.600,-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zabudowy usług turystycznych - hotel /C30 UT</w:t>
            </w:r>
          </w:p>
          <w:p w:rsidR="00E14140" w:rsidRDefault="00E141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374.500,-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40" w:rsidRDefault="00E1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24.970,-</w:t>
            </w:r>
          </w:p>
        </w:tc>
      </w:tr>
    </w:tbl>
    <w:p w:rsidR="00E14140" w:rsidRDefault="00E14140" w:rsidP="00E14140">
      <w:pPr>
        <w:rPr>
          <w:sz w:val="20"/>
          <w:szCs w:val="20"/>
        </w:rPr>
      </w:pPr>
    </w:p>
    <w:p w:rsidR="00E14140" w:rsidRDefault="00E14140" w:rsidP="00E14140">
      <w:pPr>
        <w:tabs>
          <w:tab w:val="left" w:pos="1843"/>
        </w:tabs>
        <w:rPr>
          <w:b/>
          <w:bCs/>
        </w:rPr>
      </w:pPr>
    </w:p>
    <w:p w:rsidR="00E14140" w:rsidRDefault="00E14140" w:rsidP="00E14140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20 maja 2016 roku o godz. 11-ej w siedzibie Urzędu Gminy Kołobrzeg ul. Trzebiatowska 48a, sala konferencyjna.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1</w:t>
      </w:r>
      <w:r w:rsidR="00151441">
        <w:rPr>
          <w:b/>
          <w:sz w:val="20"/>
        </w:rPr>
        <w:t>6</w:t>
      </w:r>
      <w:r>
        <w:rPr>
          <w:b/>
          <w:sz w:val="20"/>
        </w:rPr>
        <w:t xml:space="preserve"> maja</w:t>
      </w:r>
      <w:r>
        <w:rPr>
          <w:b/>
          <w:bCs/>
          <w:sz w:val="20"/>
        </w:rPr>
        <w:t xml:space="preserve"> 2016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11 maja 2016 roku włącznie.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  do przeprowadzenia procedury sprzedaży nieruchomości będącej przedmiotem przetargu , zgodnie z 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2014r., poz. 518 z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E14140" w:rsidRDefault="00E14140" w:rsidP="00E14140">
      <w:pPr>
        <w:pStyle w:val="Tekstpodstawowy"/>
        <w:jc w:val="left"/>
        <w:rPr>
          <w:sz w:val="20"/>
        </w:rPr>
      </w:pPr>
    </w:p>
    <w:p w:rsidR="00E14140" w:rsidRDefault="00E14140" w:rsidP="00E14140">
      <w:pPr>
        <w:pStyle w:val="Tekstpodstawowy"/>
        <w:jc w:val="left"/>
        <w:rPr>
          <w:sz w:val="20"/>
        </w:rPr>
      </w:pPr>
    </w:p>
    <w:p w:rsidR="00E14140" w:rsidRDefault="00E14140" w:rsidP="00E14140">
      <w:pPr>
        <w:pStyle w:val="Tekstpodstawowy"/>
        <w:jc w:val="left"/>
        <w:rPr>
          <w:sz w:val="20"/>
        </w:rPr>
      </w:pPr>
      <w:r>
        <w:rPr>
          <w:sz w:val="20"/>
        </w:rPr>
        <w:t>Kołobrzeg, dnia  18.02.2016 r.</w:t>
      </w:r>
    </w:p>
    <w:p w:rsidR="00E14140" w:rsidRDefault="00E14140" w:rsidP="00E14140">
      <w:pPr>
        <w:tabs>
          <w:tab w:val="left" w:pos="1843"/>
        </w:tabs>
        <w:rPr>
          <w:b/>
          <w:bCs/>
        </w:rPr>
      </w:pPr>
    </w:p>
    <w:p w:rsidR="00E14140" w:rsidRDefault="00E14140" w:rsidP="00E14140">
      <w:pPr>
        <w:tabs>
          <w:tab w:val="left" w:pos="1843"/>
        </w:tabs>
        <w:rPr>
          <w:b/>
          <w:bCs/>
        </w:rPr>
      </w:pPr>
    </w:p>
    <w:p w:rsidR="00E14140" w:rsidRDefault="00E14140" w:rsidP="00E14140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14140"/>
    <w:rsid w:val="000E79A5"/>
    <w:rsid w:val="00151441"/>
    <w:rsid w:val="00232C0A"/>
    <w:rsid w:val="00517CCB"/>
    <w:rsid w:val="00616728"/>
    <w:rsid w:val="00696095"/>
    <w:rsid w:val="00815F65"/>
    <w:rsid w:val="00817D29"/>
    <w:rsid w:val="00A529B7"/>
    <w:rsid w:val="00E14140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1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4140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4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1414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E1414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4140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414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5</cp:revision>
  <dcterms:created xsi:type="dcterms:W3CDTF">2016-02-18T15:18:00Z</dcterms:created>
  <dcterms:modified xsi:type="dcterms:W3CDTF">2016-02-23T10:23:00Z</dcterms:modified>
</cp:coreProperties>
</file>