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26" w:rsidRDefault="00072D26" w:rsidP="00AC1008">
      <w:pPr>
        <w:pStyle w:val="Nagwek1"/>
        <w:spacing w:before="72" w:line="276" w:lineRule="auto"/>
        <w:ind w:left="3563" w:right="3561"/>
        <w:jc w:val="center"/>
      </w:pPr>
    </w:p>
    <w:p w:rsidR="00936875" w:rsidRPr="002778C7" w:rsidRDefault="007A54D6" w:rsidP="00AC1008">
      <w:pPr>
        <w:pStyle w:val="Nagwek1"/>
        <w:spacing w:before="72" w:line="276" w:lineRule="auto"/>
        <w:ind w:left="3563" w:right="3561"/>
        <w:jc w:val="center"/>
      </w:pPr>
      <w:r w:rsidRPr="002778C7">
        <w:t xml:space="preserve">Uchwała Nr </w:t>
      </w:r>
      <w:r w:rsidR="003A0F7B">
        <w:t>XXXIII/298</w:t>
      </w:r>
      <w:r w:rsidRPr="002778C7">
        <w:t>/201</w:t>
      </w:r>
      <w:r w:rsidR="0078073C" w:rsidRPr="002778C7">
        <w:t>8</w:t>
      </w:r>
      <w:r w:rsidRPr="002778C7">
        <w:t xml:space="preserve"> Rady Gminy Kołobrzeg</w:t>
      </w:r>
    </w:p>
    <w:p w:rsidR="00936875" w:rsidRPr="002778C7" w:rsidRDefault="0078073C" w:rsidP="00AC1008">
      <w:pPr>
        <w:pStyle w:val="Tekstpodstawowy"/>
        <w:spacing w:before="1"/>
        <w:ind w:left="3563" w:right="3522" w:firstLine="0"/>
        <w:jc w:val="center"/>
      </w:pPr>
      <w:r w:rsidRPr="002778C7">
        <w:t xml:space="preserve">z dnia </w:t>
      </w:r>
      <w:r w:rsidR="003A0F7B">
        <w:t xml:space="preserve">16 lutego </w:t>
      </w:r>
      <w:r w:rsidRPr="002778C7">
        <w:t>2018</w:t>
      </w:r>
      <w:r w:rsidR="007A54D6" w:rsidRPr="002778C7">
        <w:t xml:space="preserve"> r.</w:t>
      </w:r>
    </w:p>
    <w:p w:rsidR="00936875" w:rsidRPr="002778C7" w:rsidRDefault="007A54D6" w:rsidP="00AC1008">
      <w:pPr>
        <w:pStyle w:val="Nagwek1"/>
        <w:spacing w:before="34" w:line="276" w:lineRule="auto"/>
        <w:ind w:left="2089" w:right="2098"/>
        <w:jc w:val="center"/>
      </w:pPr>
      <w:r w:rsidRPr="002778C7">
        <w:t>w sprawie miejscowego planu zagospodarowania przestrzennego gminy Kołobrzeg w części obrębu Dźwirzyno</w:t>
      </w:r>
    </w:p>
    <w:p w:rsidR="00936875" w:rsidRPr="002778C7" w:rsidRDefault="00936875" w:rsidP="0078073C">
      <w:pPr>
        <w:pStyle w:val="Tekstpodstawowy"/>
        <w:ind w:left="0" w:firstLine="0"/>
        <w:jc w:val="both"/>
        <w:rPr>
          <w:b/>
        </w:rPr>
      </w:pPr>
    </w:p>
    <w:p w:rsidR="00936875" w:rsidRDefault="00F805E2" w:rsidP="00F805E2">
      <w:pPr>
        <w:pStyle w:val="Tekstpodstawowy"/>
        <w:ind w:left="0" w:firstLine="720"/>
        <w:jc w:val="both"/>
      </w:pPr>
      <w:r w:rsidRPr="00F805E2">
        <w:t xml:space="preserve">Na podstawie art. 18 ust. 2 </w:t>
      </w:r>
      <w:proofErr w:type="spellStart"/>
      <w:r w:rsidRPr="00F805E2">
        <w:t>pkt</w:t>
      </w:r>
      <w:proofErr w:type="spellEnd"/>
      <w:r w:rsidRPr="00F805E2">
        <w:t xml:space="preserve"> 5 ustawy z dnia 8 marca 1990 r. o samorządzie gminnym (t. j. Dz. U. z 2017 r., poz. 1875, poz. 2232) oraz art. 20 ust. 1 ustawy z dnia 27 marca 2003 r. o planowaniu i zagospodarowaniu przestrzennym (t. j. Dz. U. z 2017 r., poz.1073, poz. 1566) Rada Gminy Kołobrzeg uchwala, co następuje:</w:t>
      </w:r>
    </w:p>
    <w:p w:rsidR="00F805E2" w:rsidRPr="002778C7" w:rsidRDefault="00F805E2" w:rsidP="00F805E2">
      <w:pPr>
        <w:pStyle w:val="Tekstpodstawowy"/>
        <w:ind w:left="0" w:firstLine="72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1</w:t>
      </w:r>
    </w:p>
    <w:p w:rsidR="00936875" w:rsidRPr="002778C7" w:rsidRDefault="007A54D6" w:rsidP="007A54D6">
      <w:pPr>
        <w:spacing w:before="34"/>
        <w:ind w:left="3560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WSTĘPNE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pStyle w:val="Tekstpodstawowy"/>
        <w:spacing w:before="1" w:line="276" w:lineRule="auto"/>
        <w:ind w:left="836" w:right="116"/>
        <w:jc w:val="both"/>
      </w:pPr>
      <w:r w:rsidRPr="002778C7">
        <w:rPr>
          <w:b/>
        </w:rPr>
        <w:t xml:space="preserve">§ 1. </w:t>
      </w:r>
      <w:r w:rsidRPr="002778C7">
        <w:t>1. Zgodnie z uchwałą Nr XLVII/308/14 Rady Gminy Kołobrzeg z dnia 28 października 2014 r. w sprawie przystąpienia do sporządzenia miejscowego planu zagospodarowania przestrzennego gminy Kołobrzeg w części obrębu Dźwirzyno i po stwierdzeniu, że nie narusza on ustaleń studium uwarunkowań i kierunków zagospodarowania przestrzennego gminy Kołobrzeg, przyjętego uchwałą Nr XV</w:t>
      </w:r>
      <w:r w:rsidR="00B06355">
        <w:t xml:space="preserve">/92/2000 Rady Gminy Kołobrzeg </w:t>
      </w:r>
      <w:r w:rsidR="00B06355">
        <w:br/>
      </w:r>
      <w:r w:rsidRPr="002778C7">
        <w:t xml:space="preserve">z dnia 21 lipca 2000 r. i zmienionego uchwałami: Nr XXX/197/2002 Rady Gminy Kołobrzeg z dnia 25 czerwca </w:t>
      </w:r>
      <w:r>
        <w:br/>
      </w:r>
      <w:r w:rsidRPr="002778C7">
        <w:t xml:space="preserve">2002 r., Nr XLIII/287/10 Rady Gminy Kołobrzeg z dnia 3 marca 2010 r., Nr X/67/2011 Rady Gminy Kołobrzeg </w:t>
      </w:r>
      <w:r>
        <w:br/>
      </w:r>
      <w:r w:rsidRPr="002778C7">
        <w:t>z dnia 31 sierpnia 2011 r. oraz Nr XXII/149/12 Rady Gminy Kołobrzeg z dnia 20 listopada 2012 r. uchwala się miejscowy plan zagospodarowania przestrzennego gminy Kołobrzeg w części obrębu Dźwirzyno, zwany dalej „planem miejscowym” lub</w:t>
      </w:r>
      <w:r w:rsidRPr="002778C7">
        <w:rPr>
          <w:spacing w:val="-1"/>
        </w:rPr>
        <w:t xml:space="preserve"> </w:t>
      </w:r>
      <w:r w:rsidRPr="002778C7">
        <w:t>„planem”.</w:t>
      </w:r>
    </w:p>
    <w:p w:rsidR="00936875" w:rsidRPr="002778C7" w:rsidRDefault="007A54D6" w:rsidP="0078073C">
      <w:pPr>
        <w:pStyle w:val="Akapitzlist"/>
        <w:numPr>
          <w:ilvl w:val="0"/>
          <w:numId w:val="18"/>
        </w:numPr>
        <w:tabs>
          <w:tab w:val="left" w:pos="837"/>
        </w:tabs>
        <w:spacing w:before="1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Przedmiotem ustaleń planu miejscowego jest określenie, zgodnie z zasadami ładu przestrzennego, standardów zagospodarowania i zabudowy terenów przeznaczonych do lokalizacji zabudowy usług turystyki wraz niezbędną infrastrukturą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techniczną.</w:t>
      </w:r>
    </w:p>
    <w:p w:rsidR="00936875" w:rsidRPr="002778C7" w:rsidRDefault="007A54D6" w:rsidP="0078073C">
      <w:pPr>
        <w:pStyle w:val="Akapitzlist"/>
        <w:numPr>
          <w:ilvl w:val="0"/>
          <w:numId w:val="1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Planem objęto obszary, których granice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przedstawiają:</w:t>
      </w:r>
    </w:p>
    <w:p w:rsidR="00936875" w:rsidRPr="002778C7" w:rsidRDefault="002778C7" w:rsidP="0078073C">
      <w:pPr>
        <w:pStyle w:val="Akapitzlist"/>
        <w:numPr>
          <w:ilvl w:val="1"/>
          <w:numId w:val="18"/>
        </w:numPr>
        <w:tabs>
          <w:tab w:val="left" w:pos="1196"/>
          <w:tab w:val="left" w:pos="1197"/>
        </w:tabs>
        <w:spacing w:line="276" w:lineRule="auto"/>
        <w:ind w:right="118" w:hanging="40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rysunek planu dla działek nr 3/4, 3/3, 3/1 i 4 w obrębie ewidencyjnym Dźwirzyno </w:t>
      </w:r>
      <w:r w:rsidR="007A54D6" w:rsidRPr="002778C7">
        <w:rPr>
          <w:sz w:val="20"/>
          <w:szCs w:val="20"/>
        </w:rPr>
        <w:t xml:space="preserve">sporządzony </w:t>
      </w:r>
      <w:r w:rsidRPr="002778C7">
        <w:rPr>
          <w:sz w:val="20"/>
          <w:szCs w:val="20"/>
        </w:rPr>
        <w:t xml:space="preserve">w skali </w:t>
      </w:r>
      <w:r w:rsidR="007A54D6" w:rsidRPr="002778C7">
        <w:rPr>
          <w:sz w:val="20"/>
          <w:szCs w:val="20"/>
        </w:rPr>
        <w:t>1:500 – teren „A”;</w:t>
      </w:r>
    </w:p>
    <w:p w:rsidR="00936875" w:rsidRPr="002778C7" w:rsidRDefault="007A54D6" w:rsidP="0078073C">
      <w:pPr>
        <w:pStyle w:val="Akapitzlist"/>
        <w:numPr>
          <w:ilvl w:val="1"/>
          <w:numId w:val="18"/>
        </w:numPr>
        <w:tabs>
          <w:tab w:val="left" w:pos="1196"/>
          <w:tab w:val="left" w:pos="1197"/>
        </w:tabs>
        <w:spacing w:before="0" w:line="228" w:lineRule="exact"/>
        <w:ind w:hanging="40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rysunek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dla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działek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nr</w:t>
      </w:r>
      <w:r w:rsidRPr="002778C7">
        <w:rPr>
          <w:spacing w:val="6"/>
          <w:sz w:val="20"/>
          <w:szCs w:val="20"/>
        </w:rPr>
        <w:t xml:space="preserve"> </w:t>
      </w:r>
      <w:r w:rsidRPr="002778C7">
        <w:rPr>
          <w:sz w:val="20"/>
          <w:szCs w:val="20"/>
        </w:rPr>
        <w:t>45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46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obrębie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ewidencyjnym</w:t>
      </w:r>
      <w:r w:rsidRPr="002778C7">
        <w:rPr>
          <w:spacing w:val="8"/>
          <w:sz w:val="20"/>
          <w:szCs w:val="20"/>
        </w:rPr>
        <w:t xml:space="preserve"> </w:t>
      </w:r>
      <w:r w:rsidRPr="002778C7">
        <w:rPr>
          <w:sz w:val="20"/>
          <w:szCs w:val="20"/>
        </w:rPr>
        <w:t>Dźwirzyno</w:t>
      </w:r>
      <w:r w:rsidRPr="002778C7">
        <w:rPr>
          <w:spacing w:val="6"/>
          <w:sz w:val="20"/>
          <w:szCs w:val="20"/>
        </w:rPr>
        <w:t xml:space="preserve"> </w:t>
      </w:r>
      <w:r w:rsidRPr="002778C7">
        <w:rPr>
          <w:sz w:val="20"/>
          <w:szCs w:val="20"/>
        </w:rPr>
        <w:t>sporządzony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skali</w:t>
      </w:r>
      <w:r w:rsidR="002778C7"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1:1000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</w:t>
      </w:r>
    </w:p>
    <w:p w:rsidR="00936875" w:rsidRPr="002778C7" w:rsidRDefault="007A54D6" w:rsidP="0078073C">
      <w:pPr>
        <w:pStyle w:val="Tekstpodstawowy"/>
        <w:spacing w:before="34"/>
        <w:ind w:left="1196" w:firstLine="0"/>
        <w:jc w:val="both"/>
      </w:pPr>
      <w:r w:rsidRPr="002778C7">
        <w:t>„B”.</w:t>
      </w:r>
    </w:p>
    <w:p w:rsidR="00936875" w:rsidRPr="002778C7" w:rsidRDefault="007A54D6" w:rsidP="0078073C">
      <w:pPr>
        <w:pStyle w:val="Nagwek1"/>
        <w:spacing w:before="35"/>
        <w:ind w:left="476"/>
        <w:jc w:val="both"/>
      </w:pPr>
      <w:r w:rsidRPr="002778C7">
        <w:t>§ 2. Integralnymi składnikami uchwały są: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rysunki planu stanowiące załączniki: nr 1a i 1b do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uchwały,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wyrys ze studium uwarunkowań i kierunków zagospodarowania przestrzennego gminy Kołobrzeg stanowiący załącznik nr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2,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before="0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rozstrzygnięcie o sposobie rozpatrzenia uwag wniesionych do projektu miejscowego planu zagospodarowania przestrzennego gminy Kołobrzeg w części obrębu Dźwirzyno, stanowiące załączniki nr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3,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5"/>
        </w:tabs>
        <w:spacing w:before="0" w:line="278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rozstrzygnięcie o sposobie realizacji zapisanych w miejscowym planie zagospodarowania przestrzennego gminy Kołobrzeg w części obrębu Dźwirzyno inwestycji z zakresu infrastruktury technicznej, które należą do zadań własnych gminy oraz zasadach ich finansowania stanowiące załączniki nr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4.</w:t>
      </w:r>
    </w:p>
    <w:p w:rsidR="00936875" w:rsidRPr="002778C7" w:rsidRDefault="007A54D6" w:rsidP="00063AE6">
      <w:pPr>
        <w:pStyle w:val="Nagwek1"/>
        <w:spacing w:before="193"/>
        <w:ind w:left="3563" w:right="3564"/>
        <w:jc w:val="center"/>
      </w:pPr>
      <w:r w:rsidRPr="002778C7">
        <w:t>ROZDZIAŁ 2</w:t>
      </w:r>
    </w:p>
    <w:p w:rsidR="00936875" w:rsidRPr="002778C7" w:rsidRDefault="007A54D6" w:rsidP="00063AE6">
      <w:pPr>
        <w:spacing w:before="35"/>
        <w:ind w:left="3561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OGÓLNE</w:t>
      </w:r>
    </w:p>
    <w:p w:rsidR="00936875" w:rsidRPr="002778C7" w:rsidRDefault="00936875" w:rsidP="0078073C">
      <w:pPr>
        <w:pStyle w:val="Tekstpodstawowy"/>
        <w:ind w:left="0" w:firstLine="0"/>
        <w:jc w:val="both"/>
        <w:rPr>
          <w:b/>
        </w:rPr>
      </w:pPr>
    </w:p>
    <w:p w:rsidR="00936875" w:rsidRPr="002778C7" w:rsidRDefault="007A54D6" w:rsidP="0078073C">
      <w:pPr>
        <w:ind w:left="476"/>
        <w:jc w:val="both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§ 3. Zasady konstrukcji planu miejscowego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Ustalenia tekstu planu miejscowego składają się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z: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wstępnych,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ogólnych,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szczegółowych,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końcowych.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5"/>
        </w:tabs>
        <w:spacing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przypadku braku przedmiotu ustaleń nie podaje się nakazów, zakazów, dopuszczeń lub ograniczeń w tym zakresie.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5"/>
        </w:tabs>
        <w:spacing w:before="0" w:line="276" w:lineRule="auto"/>
        <w:ind w:right="12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Przepisy ogólne obowiązują we wszystkich przypadkach, w których inaczej nie stanowią przepisy szczegółowe dla terenów.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Nagwek1"/>
        <w:spacing w:before="72"/>
        <w:ind w:left="476"/>
        <w:jc w:val="both"/>
      </w:pPr>
      <w:r w:rsidRPr="002778C7">
        <w:lastRenderedPageBreak/>
        <w:t>§ 4. Na obszarze objętym planem miejscowym ustala się następujące przeznaczenie terenu i jego symbol: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UT – </w:t>
      </w:r>
      <w:r w:rsidRPr="002778C7">
        <w:rPr>
          <w:sz w:val="20"/>
          <w:szCs w:val="20"/>
        </w:rPr>
        <w:t>teren zabudowy usług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KP </w:t>
      </w:r>
      <w:r w:rsidRPr="002778C7">
        <w:rPr>
          <w:sz w:val="20"/>
          <w:szCs w:val="20"/>
        </w:rPr>
        <w:t>– ciąg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pieszy,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E </w:t>
      </w:r>
      <w:r w:rsidRPr="002778C7">
        <w:rPr>
          <w:sz w:val="20"/>
          <w:szCs w:val="20"/>
        </w:rPr>
        <w:t>– teren infrastruktury technicznej –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KDZ </w:t>
      </w:r>
      <w:r w:rsidRPr="002778C7">
        <w:rPr>
          <w:sz w:val="20"/>
          <w:szCs w:val="20"/>
        </w:rPr>
        <w:t>– droga publiczna klasy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zbiorczej.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5. Oznaczenia graficzne na rysunku planu miejscowego</w:t>
      </w:r>
    </w:p>
    <w:p w:rsidR="00936875" w:rsidRPr="002778C7" w:rsidRDefault="007A54D6" w:rsidP="0078073C">
      <w:pPr>
        <w:pStyle w:val="Akapitzlist"/>
        <w:numPr>
          <w:ilvl w:val="0"/>
          <w:numId w:val="15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Następujące oznaczenia graficzne na rysunku planu miejscowego są obowiązującymi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ustaleniami: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granica obszaru objętego planem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miejscowym,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linia rozgraniczająca tereny o różnym przeznaczeniu lub różnych zasadach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symbole literowe określające przeznaczenie terenów, wraz z ich kolejnymi numerami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porządkowymi,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zabudowy.</w:t>
      </w:r>
    </w:p>
    <w:p w:rsidR="00936875" w:rsidRPr="002778C7" w:rsidRDefault="007A54D6" w:rsidP="0078073C">
      <w:pPr>
        <w:pStyle w:val="Akapitzlist"/>
        <w:numPr>
          <w:ilvl w:val="0"/>
          <w:numId w:val="15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Pozostałe oznaczenia graficzne mają charakter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informacyjny.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6. Ilekroć w niniejszej uchwale jest użyte określenie: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34" w:line="276" w:lineRule="auto"/>
        <w:ind w:left="1062" w:right="123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>Linia rozgraniczająca</w:t>
      </w:r>
      <w:r w:rsidRPr="002778C7">
        <w:rPr>
          <w:sz w:val="20"/>
          <w:szCs w:val="20"/>
        </w:rPr>
        <w:t>– należy przez to rozumieć linię, która wyznacza tereny o różnym przeznaczeniu lub różnych zasadach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5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Nieprzekraczalna linia zabudowy </w:t>
      </w:r>
      <w:r w:rsidRPr="002778C7">
        <w:rPr>
          <w:sz w:val="20"/>
          <w:szCs w:val="20"/>
        </w:rPr>
        <w:t>– należy przez to rozumieć linię wyznaczoną na rysunku planu miejscowego i określoną w tekście planu, przed którą nie wolno zlokalizować ściany budynku; okapy i gzymsy, mogą być wysunięte nie więcej, aniżeli 0,8 m przed linię zabudowy: przedsionki, balkony mogą być wysunięte od ściany budynku o 1,5 m, tarasy i schody wejściowe o 2,5 m; linia zabudowy nie dotyczy obiektów małej architektury, podziemnych części budynków znajdujących się całkowicie poniżej poziomu terenu i otwartych zbiorników wodnych oraz infrastruktury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1" w:line="276" w:lineRule="auto"/>
        <w:ind w:left="1062" w:right="116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Powierzchnia całkowita zabudowy </w:t>
      </w:r>
      <w:r w:rsidRPr="002778C7">
        <w:rPr>
          <w:sz w:val="20"/>
          <w:szCs w:val="20"/>
        </w:rPr>
        <w:t>- należy przez to rozumieć sumę powierzchni wszystkich nadziemnych kondygnacji, liczoną po obrysie zewnętrznym ścian budynku na wysokości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podłogi.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Powierzchnia zabudowy </w:t>
      </w:r>
      <w:r w:rsidRPr="002778C7">
        <w:rPr>
          <w:sz w:val="20"/>
          <w:szCs w:val="20"/>
        </w:rPr>
        <w:t>- należy przez to rozumieć powierzchnię terenu zajętą przez budynek w stanie wykończonym. Powierzchnia zabudowy jest wyznaczona przez rzutu pionowy zewnętrznych krawędzi budynku (kondygnacji przyziemnej lub nadziemnej w przypadku, gdy jej obrys występuje poza obrys kondygnacji przyziemnej) na powierzchnię terenu. Nie wlicza się do powierzchni zabudowy: powierzchni obiektów</w:t>
      </w:r>
      <w:r w:rsidR="00AC1008">
        <w:rPr>
          <w:sz w:val="20"/>
          <w:szCs w:val="20"/>
        </w:rPr>
        <w:t xml:space="preserve"> budowlanych ani ich części nie</w:t>
      </w:r>
      <w:r w:rsidRPr="002778C7">
        <w:rPr>
          <w:sz w:val="20"/>
          <w:szCs w:val="20"/>
        </w:rPr>
        <w:t>wystających ponad powierzchnię terenu, powierzchni utwardzonych, powierzchni elementów drugorzędnych (np. schodów zewnętrznych, ramp zewnętrznych, balkonów, daszków, markiz, występów dachowych, oświetlenia zewnętrznego) oraz zajmowanej przez wydzielone obiekty pomocnicze (np. szklarnie, altany,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szopy).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1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Reklama </w:t>
      </w:r>
      <w:r w:rsidRPr="002778C7">
        <w:rPr>
          <w:sz w:val="20"/>
          <w:szCs w:val="20"/>
        </w:rPr>
        <w:t>- należy przez to rozumieć upowszechnianie w jakiejkolwiek wizualnej formie informacji promującej osoby, przedsiębiorstwa, towary, usługi, przedsięwzięcia lub ruchy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społeczne.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Szyld </w:t>
      </w:r>
      <w:r w:rsidRPr="002778C7">
        <w:rPr>
          <w:sz w:val="20"/>
          <w:szCs w:val="20"/>
        </w:rPr>
        <w:t>– należy przez to rozumieć tablicę reklamową lub urządzenie reklamowe informującą o działalności prowadzonej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nieruchomości,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której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tablica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urządzenie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znajdują.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Teren elementarny </w:t>
      </w:r>
      <w:r w:rsidRPr="002778C7">
        <w:rPr>
          <w:sz w:val="20"/>
          <w:szCs w:val="20"/>
        </w:rPr>
        <w:t>– teren, wyznaczony na rysunku planu liniami rozgraniczającymi, oznaczony symbolem cyfrowo-literowym.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Tablica reklamowa </w:t>
      </w:r>
      <w:r w:rsidRPr="002778C7">
        <w:rPr>
          <w:sz w:val="20"/>
          <w:szCs w:val="20"/>
        </w:rPr>
        <w:t>– należy przez to rozumieć przedmiot materialny przeznaczony lub służący ekspozycji reklamy wraz z jego elementami konstrukcyjnymi i zamocowaniami, o płaskiej powierzchni służącej ekspozycji reklamy, w szczególności baner reklamowy, reklamę naklejaną na okna budynków i reklamy umieszczane na rusztowaniu, ogrodzeniu lub wyposażeniu placu budowy, z wyłączeniem drobnych przedmiotów codziennego użytku wykorzystywanych zgodnie z ich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przeznaczeniem.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Urządzenie reklamowe </w:t>
      </w:r>
      <w:r w:rsidRPr="002778C7">
        <w:rPr>
          <w:sz w:val="20"/>
          <w:szCs w:val="20"/>
        </w:rPr>
        <w:t>– należy przez to rozumieć przedmiot materialny przeznaczony l</w:t>
      </w:r>
      <w:r w:rsidR="00B06355">
        <w:rPr>
          <w:sz w:val="20"/>
          <w:szCs w:val="20"/>
        </w:rPr>
        <w:t xml:space="preserve">ub służący ekspozycji reklamy wraz z jego elementami konstrukcyjnymi i zamocowaniami, inny </w:t>
      </w:r>
      <w:r w:rsidRPr="002778C7">
        <w:rPr>
          <w:sz w:val="20"/>
          <w:szCs w:val="20"/>
        </w:rPr>
        <w:t xml:space="preserve">niż </w:t>
      </w:r>
      <w:r w:rsidR="00B06355">
        <w:rPr>
          <w:sz w:val="20"/>
          <w:szCs w:val="20"/>
        </w:rPr>
        <w:t>tablica reklamowa,</w:t>
      </w:r>
      <w:r w:rsidRPr="002778C7">
        <w:rPr>
          <w:sz w:val="20"/>
          <w:szCs w:val="20"/>
        </w:rPr>
        <w:t xml:space="preserve"> 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wyłączeniem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drobnych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przedmiotów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codziennego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użytku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wykorzystywanych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przeznaczeniem.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1" w:line="276" w:lineRule="auto"/>
        <w:ind w:left="1062" w:right="11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Wysokość   zabudowy   </w:t>
      </w:r>
      <w:r w:rsidRPr="002778C7">
        <w:rPr>
          <w:sz w:val="20"/>
          <w:szCs w:val="20"/>
        </w:rPr>
        <w:t>–   należy   przez    to    rozumieć    wysokość    naziemnych,    kubaturowych obiektów budowlanych (za wyjątkiem obiektów małej architektury, instalacji technicznych, szybów windowych, sterowni central wentylacyjnych i kotłowni gazowych) mierzoną od poziomu terenu przy najniżej położonym wejściu do budynku, znajdującym się na pierwszej kondygnacji nadziemnej, do najwyższego, kubaturowego punktu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obiektu.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/>
        <w:ind w:left="106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>Dach</w:t>
      </w:r>
      <w:r w:rsidRPr="002778C7">
        <w:rPr>
          <w:b/>
          <w:spacing w:val="20"/>
          <w:sz w:val="20"/>
          <w:szCs w:val="20"/>
        </w:rPr>
        <w:t xml:space="preserve"> </w:t>
      </w:r>
      <w:r w:rsidRPr="002778C7">
        <w:rPr>
          <w:b/>
          <w:sz w:val="20"/>
          <w:szCs w:val="20"/>
        </w:rPr>
        <w:t>zielony/taras</w:t>
      </w:r>
      <w:r w:rsidRPr="002778C7">
        <w:rPr>
          <w:b/>
          <w:spacing w:val="20"/>
          <w:sz w:val="20"/>
          <w:szCs w:val="20"/>
        </w:rPr>
        <w:t xml:space="preserve"> </w:t>
      </w:r>
      <w:r w:rsidRPr="002778C7">
        <w:rPr>
          <w:b/>
          <w:sz w:val="20"/>
          <w:szCs w:val="20"/>
        </w:rPr>
        <w:t>zielony</w:t>
      </w:r>
      <w:r w:rsidRPr="002778C7">
        <w:rPr>
          <w:b/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należy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to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rozumieć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dach/taras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pokryty</w:t>
      </w:r>
      <w:r w:rsidRPr="002778C7">
        <w:rPr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nawierzchnią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ziemną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urządzoną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Tekstpodstawowy"/>
        <w:spacing w:before="72"/>
        <w:ind w:left="1061" w:firstLine="0"/>
        <w:jc w:val="both"/>
      </w:pPr>
      <w:r w:rsidRPr="002778C7">
        <w:lastRenderedPageBreak/>
        <w:t>w sposób zapewniający naturalną wegetację.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7. Ustalenia dotyczące zasad ochrony i kształtowania ładu przestrzennego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34" w:line="276" w:lineRule="auto"/>
        <w:ind w:right="12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Parametry kształtowania zabudowy i wskaźniki dotyczące zagospodarowania terenów elementarnych określono </w:t>
      </w:r>
      <w:r w:rsidR="002778C7" w:rsidRPr="002778C7">
        <w:rPr>
          <w:sz w:val="20"/>
          <w:szCs w:val="20"/>
        </w:rPr>
        <w:br/>
      </w:r>
      <w:r w:rsidRPr="002778C7">
        <w:rPr>
          <w:sz w:val="20"/>
          <w:szCs w:val="20"/>
        </w:rPr>
        <w:t>w ustaleniach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szczegółowych.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Maksymalną wysokość obiektów budowlanych innych niż budynki, ustala się na 25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metrów.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34" w:line="276" w:lineRule="auto"/>
        <w:ind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Ograniczenie o którym mowa w ust. 2, nie dotyczy inwestycji celu publicznego z zakresu łączności publicznej, dla których dopuszcza się możliwość kształtowania wysokości w sposób zgodny z przepisami</w:t>
      </w:r>
      <w:r w:rsidRPr="002778C7">
        <w:rPr>
          <w:spacing w:val="-21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stosowania ogrodzeń z prefabrykowanych płyt betonowych, tworzyw sztucznych lub innych pełnych. Nowe ogrodzenia na obszarze objętym jednym zamierzeniem inwestycyjnym od strony drogi powiatowej muszą mieć jednakowy wygląd - ażurowe, powierzchnia prześwitów minimum 40% i wysokość (maksymalna wysokość do 1,8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m).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 czasu realizacji zagospodarowania określonego w planie miejscowym dopuszcza się użytkowanie terenu zgodnie ze stanem istniejącym, które nie narusza przepisów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prawa.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Zabrania się stosowania</w:t>
      </w:r>
      <w:r w:rsidR="0078073C" w:rsidRPr="002778C7">
        <w:rPr>
          <w:sz w:val="20"/>
          <w:szCs w:val="20"/>
        </w:rPr>
        <w:t xml:space="preserve"> na </w:t>
      </w:r>
      <w:r w:rsidR="002778C7" w:rsidRPr="002778C7">
        <w:rPr>
          <w:sz w:val="20"/>
          <w:szCs w:val="20"/>
        </w:rPr>
        <w:t>ścianach zewnętrznych budynków następujących</w:t>
      </w:r>
      <w:r w:rsidRPr="002778C7">
        <w:rPr>
          <w:sz w:val="20"/>
          <w:szCs w:val="20"/>
        </w:rPr>
        <w:t xml:space="preserve"> </w:t>
      </w:r>
      <w:r w:rsidR="002778C7" w:rsidRPr="002778C7">
        <w:rPr>
          <w:sz w:val="20"/>
          <w:szCs w:val="20"/>
        </w:rPr>
        <w:t xml:space="preserve">pokryć: blachy </w:t>
      </w:r>
      <w:r w:rsidRPr="002778C7">
        <w:rPr>
          <w:sz w:val="20"/>
          <w:szCs w:val="20"/>
        </w:rPr>
        <w:t>falistej i trapezowej, materiałów wykończeniowych typu „</w:t>
      </w:r>
      <w:proofErr w:type="spellStart"/>
      <w:r w:rsidRPr="002778C7">
        <w:rPr>
          <w:sz w:val="20"/>
          <w:szCs w:val="20"/>
        </w:rPr>
        <w:t>siding</w:t>
      </w:r>
      <w:proofErr w:type="spellEnd"/>
      <w:r w:rsidRPr="002778C7">
        <w:rPr>
          <w:sz w:val="20"/>
          <w:szCs w:val="20"/>
        </w:rPr>
        <w:t>” wykonanych z paneli z tworzyw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sztucznych.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stosowania w elewacjach jako dominu</w:t>
      </w:r>
      <w:r w:rsidR="002778C7" w:rsidRPr="002778C7">
        <w:rPr>
          <w:sz w:val="20"/>
          <w:szCs w:val="20"/>
        </w:rPr>
        <w:t xml:space="preserve">jącej powierzchniowo (ponad 30 </w:t>
      </w:r>
      <w:r w:rsidRPr="002778C7">
        <w:rPr>
          <w:sz w:val="20"/>
          <w:szCs w:val="20"/>
        </w:rPr>
        <w:t>% powierzchni w ramach każdej</w:t>
      </w:r>
      <w:r w:rsidR="002778C7" w:rsidRPr="002778C7">
        <w:rPr>
          <w:sz w:val="20"/>
          <w:szCs w:val="20"/>
        </w:rPr>
        <w:t xml:space="preserve"> </w:t>
      </w:r>
      <w:r w:rsidR="002778C7" w:rsidRPr="002778C7">
        <w:rPr>
          <w:sz w:val="20"/>
          <w:szCs w:val="20"/>
        </w:rPr>
        <w:br/>
      </w:r>
      <w:r w:rsidRPr="002778C7">
        <w:rPr>
          <w:sz w:val="20"/>
          <w:szCs w:val="20"/>
        </w:rPr>
        <w:t>z elewacji) kolorystyki budynków powodujących dysharmonię w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krajobrazie.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obowiązuje zakaz lokalizacji blaszanych garaży i blaszanych obiektów gospodarczych.</w:t>
      </w:r>
    </w:p>
    <w:p w:rsidR="00936875" w:rsidRPr="002778C7" w:rsidRDefault="007A54D6" w:rsidP="00063AE6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miejscowym ustala się następujące zasady rozmieszczania szyldów i</w:t>
      </w:r>
      <w:r w:rsidRPr="002778C7">
        <w:rPr>
          <w:spacing w:val="-32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reklam: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right="112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 się  lokalizację  szyldów  (maksymalnie  dwa  na  działkę)  o  powierzchni  maksymalnej   6,0  m</w:t>
      </w:r>
      <w:r w:rsidRPr="00AC1008">
        <w:rPr>
          <w:position w:val="5"/>
          <w:sz w:val="20"/>
          <w:szCs w:val="20"/>
          <w:vertAlign w:val="superscript"/>
        </w:rPr>
        <w:t xml:space="preserve">2   </w:t>
      </w:r>
      <w:r w:rsidRPr="002778C7">
        <w:rPr>
          <w:sz w:val="20"/>
          <w:szCs w:val="20"/>
        </w:rPr>
        <w:t xml:space="preserve">    i wysokości górnej krawędzi do 3,5 m nad poziom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całym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obszarze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opracowania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zakazuje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umieszczania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tablic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reklamowych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urządzeń reklamowych,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lokalizacji szyldów w formie ekranów LED oraz pulsacyjnego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oświetlenia,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lokalizacji szyldów na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ogrodzeniach.</w:t>
      </w:r>
    </w:p>
    <w:p w:rsidR="00936875" w:rsidRPr="002778C7" w:rsidRDefault="00936875" w:rsidP="0078073C">
      <w:pPr>
        <w:pStyle w:val="Tekstpodstawowy"/>
        <w:spacing w:before="9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8. Ustalenia dotyczące szczegółowych zasad i warunków scaleń i podziałów nieruchomości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miejscowym nie określa się granic obszarów wymagających przeprowadzenia procedury scalania i podziału nieruchomości w rozumieniu ustawy o gospodarce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nieruchomościami.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 wyznacza się terenów wymagających przeprowadzenia procedury scalania i podziału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nieruchomości.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before="34" w:line="276" w:lineRule="auto"/>
        <w:ind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wydzielenie działek o powierzchniach mniejszych niż powierzchnie ustalone w ustaleniach szczegółowych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celu:</w:t>
      </w:r>
    </w:p>
    <w:p w:rsidR="00936875" w:rsidRPr="002778C7" w:rsidRDefault="007A54D6" w:rsidP="0078073C">
      <w:pPr>
        <w:pStyle w:val="Akapitzlist"/>
        <w:numPr>
          <w:ilvl w:val="1"/>
          <w:numId w:val="13"/>
        </w:numPr>
        <w:tabs>
          <w:tab w:val="left" w:pos="1184"/>
          <w:tab w:val="left" w:pos="1185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lokalizacji obiektów infrastruktury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technicznej,</w:t>
      </w:r>
    </w:p>
    <w:p w:rsidR="00936875" w:rsidRPr="002778C7" w:rsidRDefault="007A54D6" w:rsidP="0078073C">
      <w:pPr>
        <w:pStyle w:val="Akapitzlist"/>
        <w:numPr>
          <w:ilvl w:val="1"/>
          <w:numId w:val="13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poszerzenia przyległej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drogi.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063AE6">
      <w:pPr>
        <w:pStyle w:val="Nagwek1"/>
        <w:spacing w:line="276" w:lineRule="auto"/>
        <w:ind w:left="476"/>
        <w:jc w:val="both"/>
      </w:pPr>
      <w:r w:rsidRPr="002778C7">
        <w:t>§ 9. Ustalenia dotyczące zasad ochrony środowiska, przyrody i krajobrazu kulturowego</w:t>
      </w:r>
    </w:p>
    <w:p w:rsidR="00936875" w:rsidRPr="002778C7" w:rsidRDefault="007A54D6" w:rsidP="00063AE6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w: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obszarze   specjalnej   ochrony   ptaków   </w:t>
      </w:r>
      <w:r w:rsidRPr="002778C7">
        <w:rPr>
          <w:spacing w:val="-7"/>
          <w:sz w:val="20"/>
          <w:szCs w:val="20"/>
        </w:rPr>
        <w:t xml:space="preserve">Natura </w:t>
      </w:r>
      <w:r w:rsidRPr="002778C7">
        <w:rPr>
          <w:spacing w:val="30"/>
          <w:sz w:val="20"/>
          <w:szCs w:val="20"/>
        </w:rPr>
        <w:t xml:space="preserve"> </w:t>
      </w:r>
      <w:r w:rsidRPr="002778C7">
        <w:rPr>
          <w:spacing w:val="-6"/>
          <w:sz w:val="20"/>
          <w:szCs w:val="20"/>
        </w:rPr>
        <w:t xml:space="preserve">2000   </w:t>
      </w:r>
      <w:r w:rsidRPr="002778C7">
        <w:rPr>
          <w:sz w:val="20"/>
          <w:szCs w:val="20"/>
        </w:rPr>
        <w:t>„Wybrzeże   Trzebiatowskie”   -   PLB320010    – teren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„B”,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specjalnym obszarze ochrony siedlisk Natura 2000 „Trzebiatowsko – Kołobrzeski Pas Nadmorski” – PLH320017 – teren „B”,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bliskim sąsiedztwie specjalnego obszaru ochrony siedlisk Natura 2000 „Ostoja na Zatoce Pomorskiej” – PLH990002 – teren „A”;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bliskim sąsiedztwie obszaru specjalnej ochrony ptaków Natura 2000 „Zatoka Pomorska” - PLB</w:t>
      </w:r>
      <w:r w:rsidRPr="002778C7">
        <w:rPr>
          <w:spacing w:val="-32"/>
          <w:sz w:val="20"/>
          <w:szCs w:val="20"/>
        </w:rPr>
        <w:t xml:space="preserve"> </w:t>
      </w:r>
      <w:r w:rsidRPr="002778C7">
        <w:rPr>
          <w:sz w:val="20"/>
          <w:szCs w:val="20"/>
        </w:rPr>
        <w:t>990003.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związku z występowaniem w obszarze opracowania i w sąsiedztwie obszarów Natura 2000 zabrania się podejmowania działań określonych w art. 33 ustawy o ochronie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przyrody.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 w Obszarze chronionego krajobrazu „Koszaliński Pas Nadmorski”, w którym obowiązują wprowadzone zakazy i odstępstwa od zakazów określone w przepisach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odrębnych.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zakazuje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się: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4"/>
        </w:tabs>
        <w:spacing w:line="276" w:lineRule="auto"/>
        <w:ind w:left="1194"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wykonywan</w:t>
      </w:r>
      <w:r w:rsidR="002778C7">
        <w:rPr>
          <w:sz w:val="20"/>
          <w:szCs w:val="20"/>
        </w:rPr>
        <w:t xml:space="preserve">ia prac ziemnych trwale zniekształcających rzeźbę terenu, z wyjątkiem </w:t>
      </w:r>
      <w:r w:rsidRPr="002778C7">
        <w:rPr>
          <w:sz w:val="20"/>
          <w:szCs w:val="20"/>
        </w:rPr>
        <w:t xml:space="preserve">prac związanych </w:t>
      </w:r>
      <w:r w:rsidR="002778C7">
        <w:rPr>
          <w:sz w:val="20"/>
          <w:szCs w:val="20"/>
        </w:rPr>
        <w:br/>
      </w:r>
      <w:r w:rsidRPr="002778C7">
        <w:rPr>
          <w:sz w:val="20"/>
          <w:szCs w:val="20"/>
        </w:rPr>
        <w:t xml:space="preserve">z zabezpieczeniem przeciwsztormowym, przeciwpowodziowym lub </w:t>
      </w:r>
      <w:proofErr w:type="spellStart"/>
      <w:r w:rsidRPr="002778C7">
        <w:rPr>
          <w:sz w:val="20"/>
          <w:szCs w:val="20"/>
        </w:rPr>
        <w:t>przeciwosuwiskowym</w:t>
      </w:r>
      <w:proofErr w:type="spellEnd"/>
      <w:r w:rsidRPr="002778C7">
        <w:rPr>
          <w:sz w:val="20"/>
          <w:szCs w:val="20"/>
        </w:rPr>
        <w:t xml:space="preserve"> lub utrzymaniem, budową, odbudową, naprawą lub remontem urządzeń wodnych; przepis ten nie dotyczy miejsc</w:t>
      </w:r>
      <w:r w:rsidRPr="002778C7">
        <w:rPr>
          <w:spacing w:val="13"/>
          <w:sz w:val="20"/>
          <w:szCs w:val="20"/>
        </w:rPr>
        <w:t xml:space="preserve"> </w:t>
      </w:r>
      <w:r w:rsidRPr="002778C7">
        <w:rPr>
          <w:sz w:val="20"/>
          <w:szCs w:val="20"/>
        </w:rPr>
        <w:t>posadowienia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Tekstpodstawowy"/>
        <w:spacing w:before="72"/>
        <w:ind w:left="1194" w:firstLine="0"/>
        <w:jc w:val="both"/>
      </w:pPr>
      <w:r w:rsidRPr="002778C7">
        <w:lastRenderedPageBreak/>
        <w:t>budynków oraz uzbrojenia terenu dopuszczonego ustaleniami planu;</w:t>
      </w:r>
    </w:p>
    <w:p w:rsidR="00936875" w:rsidRPr="002778C7" w:rsidRDefault="002778C7" w:rsidP="0078073C">
      <w:pPr>
        <w:pStyle w:val="Akapitzlist"/>
        <w:numPr>
          <w:ilvl w:val="1"/>
          <w:numId w:val="12"/>
        </w:numPr>
        <w:tabs>
          <w:tab w:val="left" w:pos="1194"/>
        </w:tabs>
        <w:spacing w:line="276" w:lineRule="auto"/>
        <w:ind w:left="1194"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likwidowania i niszczenia zadrzewień śródpolnych, przydrożnych i nadwodnych, jeżeli nie wynikają one </w:t>
      </w:r>
      <w:r w:rsidRPr="002778C7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potrzeby ochrony przeciwpowodziowej i zapewnienia bezpieczeństwa ruchu drogowego lub wodnego lub budowy, odbudowy, utrzymania, remontów lub naprawy urządzeń</w:t>
      </w:r>
      <w:r w:rsidR="007A54D6" w:rsidRPr="002778C7">
        <w:rPr>
          <w:spacing w:val="-8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wodnych;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4"/>
        </w:tabs>
        <w:spacing w:before="0" w:line="276" w:lineRule="auto"/>
        <w:ind w:left="1194"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dokonywania zmian stosunków wod</w:t>
      </w:r>
      <w:r w:rsidR="002778C7">
        <w:rPr>
          <w:sz w:val="20"/>
          <w:szCs w:val="20"/>
        </w:rPr>
        <w:t>nych, jeżeli służą innym celom niż ochrona przyrody lub zrównoważone wykorzystanie użytków rolnych i leśnych oraz racjonalna gospodarka wodna lub</w:t>
      </w:r>
      <w:r w:rsidRPr="002778C7">
        <w:rPr>
          <w:sz w:val="20"/>
          <w:szCs w:val="20"/>
        </w:rPr>
        <w:t xml:space="preserve"> rybacka.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Ustala się zakaz lokalizacji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inwestycji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6"/>
          <w:tab w:val="left" w:pos="1197"/>
        </w:tabs>
        <w:spacing w:before="34"/>
        <w:ind w:left="119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mogących zawsze znacząco oddziaływać na środowisko, zgodnie z przepisami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odrębnymi,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7"/>
        </w:tabs>
        <w:spacing w:line="276" w:lineRule="auto"/>
        <w:ind w:left="1196" w:right="18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mogących potencjalnie znacząco oddziaływać na środowisko zgodnie z przepisami odrębnymi, za wyjątkiem inwestycji dopuszczonych ustaleniami planu oraz sieci i obiektów infrastruktury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ind w:right="17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Prace ziemne prowadzone w pobliżu i bezpośrednio przy drzewach, które nie są przeznaczone do wycinki, należy wykonać w sposób niepowodujący zagrożeń dla systemu korzeniowego oraz dla pni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drzew.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7"/>
        </w:tabs>
        <w:spacing w:before="0" w:line="276" w:lineRule="auto"/>
        <w:ind w:right="18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terenie planu zakazuje się lokalizacji działalności mogącej prowadzić do przekroczenia dopuszczalnych wielkości oddziaływania na środowisko przez wytwarzanie hałasu, wibracji, pól elektromagnetycznych, zanieczyszczania powietrza, wody i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gleby.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działań i użytkowania terenów, które mogą doprowadzić do jego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degradacji.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34" w:line="276" w:lineRule="auto"/>
        <w:ind w:right="17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Dla terenów elementarnych 1UT i 5UT przyjmuje się dopuszczalne poziomy hałasu w środowisku jak dla terenów rekreacyjno-wypoczynkowych, zgodnie z 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before="1"/>
        <w:ind w:left="399"/>
        <w:jc w:val="both"/>
      </w:pPr>
      <w:r w:rsidRPr="002778C7">
        <w:t>§ 10. Ustalenie dotyczące terenów i obiektów podlegających ochronie na podstawie przepisów odrębnych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w: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Pasie ochronnym pasa nadbrzeżnego brzegu morskiego – </w:t>
      </w:r>
      <w:r w:rsidRPr="002778C7">
        <w:rPr>
          <w:sz w:val="20"/>
          <w:szCs w:val="20"/>
        </w:rPr>
        <w:t>obejmującym obszar, w którym działalność człowieka wywiera bezpośredni wpływ na nadbrzeżny pas techniczny brzegu morskiego. W pasie ochronnym zakazuje się czynności, które mogą spowodować negatywny wpływ na pas techniczny – zgodnie z przepisami odrębnymi.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5"/>
        </w:tabs>
        <w:spacing w:before="0" w:line="276" w:lineRule="auto"/>
        <w:ind w:right="116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Obszarze i terenie górniczym „Kołobrzeg II” </w:t>
      </w:r>
      <w:r w:rsidRPr="002778C7">
        <w:rPr>
          <w:sz w:val="20"/>
          <w:szCs w:val="20"/>
        </w:rPr>
        <w:t>utworzony dla złoża leczniczych wód mineralnych decyzją Ministra Zdrowia i Opieki Społecznej nr TIU-G/60/91 29.03.1991 r. Celem utworzenia obszaru i terenu górniczego było zabezpieczenie wód leczniczych przed zanieczyszczeniami lub zniszczeniem. Podejmowanie jakichkolwiek działań w obrębie ww. obszaru oraz w jego sąsiedztwie musi być prowadzone w taki sposób, ażeby nie nastąpiło obniżenie ich wartości – zgodnie z przepisami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przylegają</w:t>
      </w:r>
      <w:r w:rsidRPr="002778C7">
        <w:rPr>
          <w:spacing w:val="1"/>
          <w:sz w:val="20"/>
          <w:szCs w:val="20"/>
        </w:rPr>
        <w:t xml:space="preserve"> </w:t>
      </w:r>
      <w:r w:rsidRPr="002778C7">
        <w:rPr>
          <w:sz w:val="20"/>
          <w:szCs w:val="20"/>
        </w:rPr>
        <w:t>do: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nadbrzeżnego pasa technicznego brzegu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morskiego,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lasów ochronnych pokrywających tereny znajdujące się w pasie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technicznym,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terenu szczególnego zagrożenia powodzią obejmującego pas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7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terenów wymienionych w ust. 2 pkt 1 i 2 obowiązuje Zarządzenie porządkowe nr 1 Dyrektora Urzędu Morskiego w Słupsku z dnia 24 marca 2014 r. w sprawie określenia wymogów zabezpieczenia brzegu morskiego, wydm nadmorskich i zalesień ochronnych w nadbrzeżnym pasie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technicznym.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terenu szczególnego zagrożonego powodzią obowiązują przepisy ustawy Prawo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wodne.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16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11. Ustalenia dotyczące sposobów i terminów tymczasowego urządzania i użytkowania terenów - </w:t>
      </w:r>
      <w:r w:rsidRPr="002778C7">
        <w:rPr>
          <w:sz w:val="20"/>
          <w:szCs w:val="20"/>
        </w:rPr>
        <w:t>na terenach objętych planem zakazuje się lokalizowania obiektów tymczasowych poza obiektami niezbędnymi do realizacji docelowego zagospodarowania i zabudowy terenu lokalizowanymi na czas prowadzenia budowy oraz obiektami małej architektury.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12. Ustalenia dotyczące zasad modernizacji, rozbudowy i budowy systemu komunikacyjnego oraz zasad obsługi komunikacyjnej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Obsługa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komunikacyjna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terenów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elementarnych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16"/>
          <w:sz w:val="20"/>
          <w:szCs w:val="20"/>
        </w:rPr>
        <w:t xml:space="preserve"> </w:t>
      </w:r>
      <w:r w:rsidRPr="002778C7">
        <w:rPr>
          <w:sz w:val="20"/>
          <w:szCs w:val="20"/>
        </w:rPr>
        <w:t>oparciu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o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połączenie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drogą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powiatową</w:t>
      </w:r>
      <w:r w:rsidRPr="002778C7">
        <w:rPr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3152Z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Kołobrzeg</w:t>
      </w:r>
    </w:p>
    <w:p w:rsidR="00936875" w:rsidRPr="002778C7" w:rsidRDefault="007A54D6" w:rsidP="0078073C">
      <w:pPr>
        <w:pStyle w:val="Tekstpodstawowy"/>
        <w:spacing w:before="34"/>
        <w:ind w:left="881" w:firstLine="0"/>
        <w:jc w:val="both"/>
      </w:pPr>
      <w:r w:rsidRPr="002778C7">
        <w:t>– Dźwirzyno – Mrzeżyno.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każdego z terenów elementarnych UT zgodnie z ustaleniami zawartymi w przepisach szczegółowych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0"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Ilość miejsc do parkowania pojazdów zaopatrzonych w kartę parkingową - 2% ogólnej liczby miejsc, lecz nie mniej niż 2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miejsca.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3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Sposób realizacji miejsc do parkowania – w granicach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działki/terenu.</w:t>
      </w:r>
    </w:p>
    <w:p w:rsidR="00936875" w:rsidRPr="002778C7" w:rsidRDefault="00936875" w:rsidP="0078073C">
      <w:pPr>
        <w:pStyle w:val="Tekstpodstawowy"/>
        <w:spacing w:before="3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13. Ustalenia dotyczące zasad modernizacji, rozbudowy i budowy systemu infrastruktury technicznej oraz zasad obsługi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0"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Dopuszcza się likwidację, przebudowę, budowę, rozbudowę i modernizację istniejącej infrastruktury technicznej oraz wprowadzenia rozwiązań zamiennych, pod warunkiem, że wprowadzone zmiany nie spowodują pogorszenia działania istniejącej i projektowanej sieci oraz zapewnią właściwą, zgodną z ustaleniami planu obsługę terenów </w:t>
      </w:r>
      <w:r w:rsidR="002778C7">
        <w:rPr>
          <w:sz w:val="20"/>
          <w:szCs w:val="20"/>
        </w:rPr>
        <w:br/>
      </w:r>
      <w:r w:rsidRPr="002778C7">
        <w:rPr>
          <w:sz w:val="20"/>
          <w:szCs w:val="20"/>
        </w:rPr>
        <w:t>i funkcji ustalonych w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planie</w:t>
      </w:r>
    </w:p>
    <w:p w:rsidR="00936875" w:rsidRPr="002778C7" w:rsidRDefault="002778C7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1" w:line="276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Dopuszcza  się  lokalizację  urządzeń  oraz  sieci  infrastruktury technicznej na terenach elementarnych o innym przeznaczeniu, </w:t>
      </w:r>
      <w:r w:rsidR="007A54D6" w:rsidRPr="002778C7">
        <w:rPr>
          <w:sz w:val="20"/>
          <w:szCs w:val="20"/>
        </w:rPr>
        <w:t>o ile określone w ustaleniach szczegółowych przeznaczenie terenu oraz możliwości jego zabudowy, zostaną</w:t>
      </w:r>
      <w:r w:rsidR="007A54D6" w:rsidRPr="002778C7">
        <w:rPr>
          <w:spacing w:val="-3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zachowane.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0" w:line="276" w:lineRule="auto"/>
        <w:ind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Od sieci i urządzeń infrastruktury technicznej należy zachować odległości zgodne z przepisami odrębnymi lub je przebudować.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całym obszarze objętym opracowaniem planu obowiązuje zakaz lokalizacji nowych, napowietrznych sieci infrastruktury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1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wodę: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przyłączenie zabudowy do istniejących i projektowanych sieci wodociągowych przy zachowaniu parametrów niezbędnych do prawidłowej i bezawaryjnej ich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obsługi,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sieci wodociągowe nakazuje się prowadzić przewodami o średnicy min. DN 80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mm,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studni dla celów obrony cywilnej lub ze względów technologicznych jako dodatkowe, awaryjne źródło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zaopatrzenia,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  <w:tab w:val="left" w:pos="2042"/>
          <w:tab w:val="left" w:pos="2455"/>
          <w:tab w:val="left" w:pos="3572"/>
          <w:tab w:val="left" w:pos="4613"/>
          <w:tab w:val="left" w:pos="4853"/>
          <w:tab w:val="left" w:pos="6505"/>
          <w:tab w:val="left" w:pos="7646"/>
          <w:tab w:val="left" w:pos="7968"/>
          <w:tab w:val="left" w:pos="8611"/>
        </w:tabs>
        <w:spacing w:before="0" w:line="276" w:lineRule="auto"/>
        <w:ind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nakazuje</w:t>
      </w:r>
      <w:r w:rsidRPr="002778C7">
        <w:rPr>
          <w:sz w:val="20"/>
          <w:szCs w:val="20"/>
        </w:rPr>
        <w:tab/>
        <w:t>się</w:t>
      </w:r>
      <w:r w:rsidRPr="002778C7">
        <w:rPr>
          <w:sz w:val="20"/>
          <w:szCs w:val="20"/>
        </w:rPr>
        <w:tab/>
        <w:t>zapewnienie</w:t>
      </w:r>
      <w:r w:rsidRPr="002778C7">
        <w:rPr>
          <w:sz w:val="20"/>
          <w:szCs w:val="20"/>
        </w:rPr>
        <w:tab/>
        <w:t>awaryjnego</w:t>
      </w:r>
      <w:r w:rsidRPr="002778C7">
        <w:rPr>
          <w:sz w:val="20"/>
          <w:szCs w:val="20"/>
        </w:rPr>
        <w:tab/>
        <w:t>i</w:t>
      </w:r>
      <w:r w:rsidRPr="002778C7">
        <w:rPr>
          <w:sz w:val="20"/>
          <w:szCs w:val="20"/>
        </w:rPr>
        <w:tab/>
        <w:t>przeciw</w:t>
      </w:r>
      <w:r w:rsidR="002778C7">
        <w:rPr>
          <w:sz w:val="20"/>
          <w:szCs w:val="20"/>
        </w:rPr>
        <w:t>pożarowego</w:t>
      </w:r>
      <w:r w:rsidR="002778C7">
        <w:rPr>
          <w:sz w:val="20"/>
          <w:szCs w:val="20"/>
        </w:rPr>
        <w:tab/>
        <w:t>zaopatrzenia w</w:t>
      </w:r>
      <w:r w:rsidR="002778C7">
        <w:rPr>
          <w:sz w:val="20"/>
          <w:szCs w:val="20"/>
        </w:rPr>
        <w:tab/>
        <w:t xml:space="preserve">wodę, </w:t>
      </w:r>
      <w:r w:rsidR="009614A8">
        <w:rPr>
          <w:sz w:val="20"/>
          <w:szCs w:val="20"/>
        </w:rPr>
        <w:t xml:space="preserve">zgodnie z </w:t>
      </w:r>
      <w:r w:rsidRPr="002778C7">
        <w:rPr>
          <w:sz w:val="20"/>
          <w:szCs w:val="20"/>
        </w:rPr>
        <w:t>przepisami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1"/>
        <w:jc w:val="both"/>
      </w:pPr>
      <w:r w:rsidRPr="002778C7">
        <w:t>Ustalenia zasad odprowadzenia ścieków</w:t>
      </w:r>
      <w:r w:rsidRPr="002778C7">
        <w:rPr>
          <w:spacing w:val="-4"/>
        </w:rPr>
        <w:t xml:space="preserve"> </w:t>
      </w:r>
      <w:r w:rsidRPr="002778C7">
        <w:t>bytowych: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ścieki bytowe nakazuje się odprowadzić poprzez istniejącą i projektowaną sieć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kanalizacyjną,</w:t>
      </w:r>
    </w:p>
    <w:p w:rsidR="00936875" w:rsidRPr="002778C7" w:rsidRDefault="002778C7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ustala się realizację projektowanych przewodów tłocznych o średnicy min. DN 63 mm i</w:t>
      </w:r>
      <w:r w:rsidR="007A54D6" w:rsidRPr="002778C7">
        <w:rPr>
          <w:sz w:val="20"/>
          <w:szCs w:val="20"/>
        </w:rPr>
        <w:t xml:space="preserve"> grawitacyjnych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o średnicy min. DN 150</w:t>
      </w:r>
      <w:r w:rsidR="007A54D6" w:rsidRPr="002778C7">
        <w:rPr>
          <w:spacing w:val="-6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mm,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wykonywania lokalnych lub tymczasowych odbiorników ścieków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bytowych,</w:t>
      </w:r>
    </w:p>
    <w:p w:rsidR="00936875" w:rsidRPr="002778C7" w:rsidRDefault="002778C7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obrębie opracowania nakazuje </w:t>
      </w:r>
      <w:r w:rsidR="007A54D6" w:rsidRPr="002778C7">
        <w:rPr>
          <w:sz w:val="20"/>
          <w:szCs w:val="20"/>
        </w:rPr>
        <w:t xml:space="preserve">się </w:t>
      </w:r>
      <w:r>
        <w:rPr>
          <w:sz w:val="20"/>
          <w:szCs w:val="20"/>
        </w:rPr>
        <w:t xml:space="preserve">zaprojektować rozdzielczy system odprowadzania ścieków </w:t>
      </w:r>
      <w:r w:rsidR="00070046">
        <w:rPr>
          <w:sz w:val="20"/>
          <w:szCs w:val="20"/>
        </w:rPr>
        <w:t xml:space="preserve">bytowych </w:t>
      </w:r>
      <w:r w:rsidR="00070046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i</w:t>
      </w:r>
      <w:r w:rsidR="007A54D6" w:rsidRPr="002778C7">
        <w:rPr>
          <w:spacing w:val="-2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deszczowych.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jc w:val="both"/>
      </w:pPr>
      <w:r w:rsidRPr="002778C7">
        <w:t>Ustalenia zasad odprowadzenia wód opadowych i</w:t>
      </w:r>
      <w:r w:rsidRPr="002778C7">
        <w:rPr>
          <w:spacing w:val="-5"/>
        </w:rPr>
        <w:t xml:space="preserve"> </w:t>
      </w:r>
      <w:r w:rsidRPr="002778C7">
        <w:t>roztopowych: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dwa systemy odprowadzenia wód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deszczowych:</w:t>
      </w:r>
    </w:p>
    <w:p w:rsidR="00D12E18" w:rsidRPr="00D12E18" w:rsidRDefault="00D12E18" w:rsidP="00D12E18">
      <w:pPr>
        <w:pStyle w:val="Akapitzlist"/>
        <w:numPr>
          <w:ilvl w:val="2"/>
          <w:numId w:val="9"/>
        </w:numPr>
        <w:spacing w:before="0" w:line="276" w:lineRule="auto"/>
        <w:ind w:hanging="357"/>
        <w:jc w:val="both"/>
        <w:rPr>
          <w:sz w:val="20"/>
          <w:szCs w:val="20"/>
        </w:rPr>
      </w:pPr>
      <w:r w:rsidRPr="00D12E18">
        <w:rPr>
          <w:sz w:val="20"/>
          <w:szCs w:val="20"/>
        </w:rPr>
        <w:t>na terenach zagospodarowanych w sposób nie powodujący zanieczyszczenia wód - na własny grunt zgodnie z przepisami odrębnymi,</w:t>
      </w:r>
    </w:p>
    <w:p w:rsidR="00936875" w:rsidRPr="002778C7" w:rsidRDefault="00D12E18" w:rsidP="00D12E18">
      <w:pPr>
        <w:pStyle w:val="Akapitzlist"/>
        <w:numPr>
          <w:ilvl w:val="2"/>
          <w:numId w:val="9"/>
        </w:numPr>
        <w:tabs>
          <w:tab w:val="left" w:pos="1544"/>
          <w:tab w:val="left" w:pos="1545"/>
        </w:tabs>
        <w:spacing w:before="0" w:line="276" w:lineRule="auto"/>
        <w:ind w:right="122" w:hanging="357"/>
        <w:jc w:val="both"/>
        <w:rPr>
          <w:sz w:val="20"/>
          <w:szCs w:val="20"/>
        </w:rPr>
      </w:pPr>
      <w:r w:rsidRPr="00E02FDC">
        <w:rPr>
          <w:rFonts w:cs="Arial"/>
          <w:snapToGrid w:val="0"/>
          <w:sz w:val="20"/>
          <w:szCs w:val="20"/>
        </w:rPr>
        <w:t xml:space="preserve">na terenach zagospodarowanych </w:t>
      </w:r>
      <w:r>
        <w:rPr>
          <w:rFonts w:cs="Arial"/>
          <w:snapToGrid w:val="0"/>
          <w:sz w:val="20"/>
          <w:szCs w:val="20"/>
        </w:rPr>
        <w:t>w</w:t>
      </w:r>
      <w:bookmarkStart w:id="0" w:name="_GoBack"/>
      <w:bookmarkEnd w:id="0"/>
      <w:r>
        <w:rPr>
          <w:rFonts w:cs="Arial"/>
          <w:snapToGrid w:val="0"/>
          <w:sz w:val="20"/>
          <w:szCs w:val="20"/>
        </w:rPr>
        <w:t xml:space="preserve"> sposób mogących zanieczyścić </w:t>
      </w:r>
      <w:r w:rsidRPr="00E02FDC">
        <w:rPr>
          <w:rFonts w:cs="Arial"/>
          <w:snapToGrid w:val="0"/>
          <w:sz w:val="20"/>
          <w:szCs w:val="20"/>
        </w:rPr>
        <w:t>wody - po ich uprzednim podczyszczeniu, do kanalizacji deszczowej lub w grunt poprzez studnie chłonne lub za pomocą innych rozwiązań zamiennych, zgodnie z przepisami odrębnymi</w:t>
      </w:r>
      <w:r w:rsidR="007A54D6" w:rsidRPr="002778C7">
        <w:rPr>
          <w:sz w:val="20"/>
          <w:szCs w:val="20"/>
        </w:rPr>
        <w:t>,</w:t>
      </w:r>
    </w:p>
    <w:p w:rsidR="00D12E18" w:rsidRPr="00D12E18" w:rsidRDefault="00D12E18" w:rsidP="00D12E18">
      <w:pPr>
        <w:pStyle w:val="Akapitzlist"/>
        <w:numPr>
          <w:ilvl w:val="1"/>
          <w:numId w:val="9"/>
        </w:numPr>
        <w:spacing w:before="0" w:line="276" w:lineRule="auto"/>
        <w:ind w:hanging="357"/>
        <w:rPr>
          <w:sz w:val="20"/>
          <w:szCs w:val="20"/>
        </w:rPr>
      </w:pPr>
      <w:r w:rsidRPr="00D12E18">
        <w:rPr>
          <w:sz w:val="20"/>
          <w:szCs w:val="20"/>
        </w:rPr>
        <w:t>ilość wód odprowadzana do gruntu nie może przekraczać jego chłonności; w przypadku wystąpienia nadmiaru wód należy je odprowadzić do kanalizacji deszczowej lub zastosować inne rozwiązania zamienne służące odprowadzeniu lub zatrzymaniu wód opadowych;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26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rozwiązania techniczne służące zatrzymaniu wód opadowych oraz regulacji ich zrzutu do odbiorników,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17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wykorzystanie wód opadowych nie wymagających oczyszczania do gromadzenia i użycia do celów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gospodarczych,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sieci kanalizacji deszczowej nakazuje się prowadzić o średnicach nie mniejszych niż DN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100.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34"/>
        <w:jc w:val="both"/>
      </w:pPr>
      <w:r w:rsidRPr="002778C7">
        <w:t>Ustalenia zasad zaopatrzenia w energię</w:t>
      </w:r>
      <w:r w:rsidRPr="002778C7">
        <w:rPr>
          <w:spacing w:val="-3"/>
        </w:rPr>
        <w:t xml:space="preserve"> </w:t>
      </w:r>
      <w:r w:rsidRPr="002778C7">
        <w:t>elektryczną: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zasilanie w energię elektryczną ustala się z istniejącej i projektowanej sieci średniego i niskiego napięcia oraz ze źródeł energii odnawialnej (z wyłączeniem siłowni wiatrowych) zgodnie z przepisami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przeznaczonym pod zainwestowanie dopuszcza się lokalizację stacji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transformatorowych,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zasilanie działek budowlanych poprzez stację transformatorową wolnostojącą, dobudowaną lub wbudowaną oraz stosowanie stacji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kontenerowych,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sieć elektroenergetyczną należy realizować jako kablową,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podziemną.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34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gaz: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wykorzystanie gazu do celów bytowych, grzewczych, technologicznych poprzez budowę lub rozbudowę sieci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gazowej,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7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sieci gazowe nakazuje się prowadzić o średnicach nie mniejszych niż DN 32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mm.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35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ciepło: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zaopatrzenie w ciepło w oparciu o indywidualne źródła ciepła,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stosowania źródeł ciepła wykorzystujących paliwa powodujące ponadnormatywne zanieczyszczenia powietrza,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dopuszczenie realizacji systemów grzewczych wykorzystujących źródła odnawialne zgodnie z przepisami odrębnymi.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1"/>
        <w:jc w:val="both"/>
      </w:pPr>
      <w:r w:rsidRPr="002778C7">
        <w:t>Ustalenia zasad dostępności</w:t>
      </w:r>
      <w:r w:rsidRPr="002778C7">
        <w:rPr>
          <w:spacing w:val="-2"/>
        </w:rPr>
        <w:t xml:space="preserve"> </w:t>
      </w:r>
      <w:r w:rsidRPr="002778C7">
        <w:t>telekomunikacyjnej: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34" w:line="276" w:lineRule="auto"/>
        <w:ind w:left="1196"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podłączenie do istniejących lub projektowanych sieci branżowej infrastruktury technicznej przy zachowaniu parametrów niezbędnych do prawidłowej i bezawaryjnej ich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obsługi,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0" w:line="276" w:lineRule="auto"/>
        <w:ind w:left="1196"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lokalizowanie inwestycji celu publicznego z zakresu łączności publicznej zgodnie z przepisami odrębnym,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0"/>
        <w:ind w:left="119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prowadzenia napowietrznych sieci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telekomunikacyjnych.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35"/>
        <w:jc w:val="both"/>
        <w:rPr>
          <w:b w:val="0"/>
        </w:rPr>
      </w:pPr>
      <w:r w:rsidRPr="002778C7">
        <w:t>Ustalenia zasad gromadzenia i unieszkodliwiania</w:t>
      </w:r>
      <w:r w:rsidRPr="002778C7">
        <w:rPr>
          <w:spacing w:val="-5"/>
        </w:rPr>
        <w:t xml:space="preserve"> </w:t>
      </w:r>
      <w:r w:rsidRPr="002778C7">
        <w:t>odpadów</w:t>
      </w:r>
      <w:r w:rsidRPr="002778C7">
        <w:rPr>
          <w:b w:val="0"/>
        </w:rPr>
        <w:t>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gromadzenie i unieszkodliwianie odpadów zgodnie z regulaminem utrzymania czystości i porządku na terenie gm.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Kołobrzeg,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działek budowlanych należy przewidzieć miejsca na pojemniki służące do czasowego gromadzenia odpadów stałych z uwzględnieniem ich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segregacji.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0" w:line="276" w:lineRule="auto"/>
        <w:ind w:right="12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Ustalenia w zakresie melioracji – </w:t>
      </w:r>
      <w:r w:rsidRPr="002778C7">
        <w:rPr>
          <w:sz w:val="20"/>
          <w:szCs w:val="20"/>
        </w:rPr>
        <w:t>na obszarach objętych planem miejscowym nie występują wody płynące, urządzenia melioracji wodnych szczegółowych 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podstawowych.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1" w:line="276" w:lineRule="auto"/>
        <w:ind w:right="120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Ustalenia inne – </w:t>
      </w:r>
      <w:r w:rsidRPr="002778C7">
        <w:rPr>
          <w:sz w:val="20"/>
          <w:szCs w:val="20"/>
        </w:rPr>
        <w:t>tereny planu miejscowego objęty jest koncesją na poszukiwanie i rozpoznawanie złóż ropy naftowej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gazu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ziemnego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koncesja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„Trzebiatów”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nr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60/2009/p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dnia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19.10.2009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r.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ważna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do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dnia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19.10.2018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r.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14. Ze względu na brak występowania w obszarach objętych ustaleniami planu przedmiotów poniższych regulacji, w planie nie określa się: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 ochrony dziedzictwa kulturowego i zabytków oraz dóbr kultury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współczesnej,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obszarów osuwania się mas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wymagań wynikających z potrzeb kształtowania przestrzeni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publicznych,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szczególnych warunków zagospodarowania terenów oraz ograniczeń w ich użytkowaniu, w tym zakazów zabudowy.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3</w:t>
      </w:r>
    </w:p>
    <w:p w:rsidR="00936875" w:rsidRPr="002778C7" w:rsidRDefault="007A54D6" w:rsidP="007A54D6">
      <w:pPr>
        <w:spacing w:before="34"/>
        <w:ind w:left="3563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SZCZEGÓŁOWE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15. Dla terenu elementarnego oznaczonego na rysunku planu miejscowego symbolem 1UT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zabudowy usług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 hotelarskich, zabudowa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apartamentowa;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budynkach usług hotelarskich i apartamentowych dopuszcza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się: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4"/>
          <w:tab w:val="left" w:pos="153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nieuciążliwe:</w:t>
      </w:r>
    </w:p>
    <w:p w:rsidR="00936875" w:rsidRPr="002778C7" w:rsidRDefault="007A54D6" w:rsidP="0078073C">
      <w:pPr>
        <w:pStyle w:val="Akapitzlist"/>
        <w:numPr>
          <w:ilvl w:val="3"/>
          <w:numId w:val="8"/>
        </w:numPr>
        <w:tabs>
          <w:tab w:val="left" w:pos="1894"/>
          <w:tab w:val="left" w:pos="1895"/>
        </w:tabs>
        <w:spacing w:before="3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gastronomia, odnowa biologiczna, rozrywka, usługi leczniczo-sanatoryjne,</w:t>
      </w:r>
      <w:r w:rsidRPr="002778C7">
        <w:rPr>
          <w:spacing w:val="-13"/>
          <w:sz w:val="20"/>
          <w:szCs w:val="20"/>
        </w:rPr>
        <w:t xml:space="preserve"> </w:t>
      </w:r>
      <w:r w:rsidRPr="002778C7">
        <w:rPr>
          <w:sz w:val="20"/>
          <w:szCs w:val="20"/>
        </w:rPr>
        <w:t>kulturalne;</w:t>
      </w:r>
    </w:p>
    <w:p w:rsidR="00936875" w:rsidRPr="002778C7" w:rsidRDefault="007A54D6" w:rsidP="0078073C">
      <w:pPr>
        <w:pStyle w:val="Akapitzlist"/>
        <w:numPr>
          <w:ilvl w:val="3"/>
          <w:numId w:val="8"/>
        </w:numPr>
        <w:tabs>
          <w:tab w:val="left" w:pos="1894"/>
          <w:tab w:val="left" w:pos="1895"/>
        </w:tabs>
        <w:spacing w:before="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handel (o powierzchni sprzedaży do 100 m</w:t>
      </w:r>
      <w:r w:rsidRPr="002778C7">
        <w:rPr>
          <w:position w:val="5"/>
          <w:sz w:val="20"/>
          <w:szCs w:val="20"/>
          <w:vertAlign w:val="superscript"/>
        </w:rPr>
        <w:t>2</w:t>
      </w:r>
      <w:r w:rsidRPr="002778C7">
        <w:rPr>
          <w:sz w:val="20"/>
          <w:szCs w:val="20"/>
        </w:rPr>
        <w:t>/sklep, powierzchnia łączna sprzedaży do 400</w:t>
      </w:r>
      <w:r w:rsidRPr="002778C7">
        <w:rPr>
          <w:spacing w:val="-30"/>
          <w:sz w:val="20"/>
          <w:szCs w:val="20"/>
        </w:rPr>
        <w:t xml:space="preserve"> </w:t>
      </w:r>
      <w:r w:rsidRPr="002778C7">
        <w:rPr>
          <w:sz w:val="20"/>
          <w:szCs w:val="20"/>
        </w:rPr>
        <w:t>m</w:t>
      </w:r>
      <w:r w:rsidRPr="002778C7">
        <w:rPr>
          <w:position w:val="5"/>
          <w:sz w:val="20"/>
          <w:szCs w:val="20"/>
          <w:vertAlign w:val="superscript"/>
        </w:rPr>
        <w:t>2</w:t>
      </w:r>
      <w:r w:rsidRPr="002778C7">
        <w:rPr>
          <w:sz w:val="20"/>
          <w:szCs w:val="20"/>
        </w:rPr>
        <w:t>);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4"/>
          <w:tab w:val="left" w:pos="1535"/>
        </w:tabs>
        <w:spacing w:before="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mieszkanie właściciela i zarządcy terenu;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5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wydzielenie funkcji mieszkalnej związanej z obsługą usług turystyki przy zastosowaniu ograniczenia maksymalnie do 12% powierzchni użytkowej całości obiektu, funkcja mieszkalna może zostać zrealizowana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wyłącznie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jako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funkcja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uzupełniająca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po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trakcie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realizacji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rozbudowę, przebudowę i nadbudowę istniejącej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 sportu i rekreacji – place zabaw, korty tenisowe, boiska, baseny otwarte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itp.;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zaplecze gospodarcze i techniczne związane ze świadczonymi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usługami;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lokalizacji wolnostojących budynków handlowych 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gastronomicznych;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zlokalizowane na działce muszą nawiązywać do siebie architekturą i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detalem;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tarasów rekreacyjno-widokowych na dachach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budynków;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72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obiekty małej architektury - na terenach działek, poza ustaloną powierzchnią zabudowy, dopuszcza się lokalizację wolnostojących wiat, altan i innych obiektów małej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architektury;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zieleń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urządzona;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34" w:line="276" w:lineRule="auto"/>
        <w:ind w:right="12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lokalizacja urządzeń i sieci infrastruktury technicznej, dojść, dojazdów i parkingów oraz miejsc selektywnej zbiórki odpadów niezbędnych do zapewnienia funkcjonowania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1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kondygnacji podziemnych – dopuszcza się lokalizację górnej płaszczyzny stropu kondygnacji podziemnej do 1,0 m nad poziom terenu, z uwzględnieniem §9 ust. 4 pkt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wysokość zabudowy – do 25 m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n.p.m.;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geometria dachu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płaskie;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powierzchnia zabudowy w stosunku do powierzchni działki budowlanej –</w:t>
      </w:r>
      <w:r w:rsidRPr="002778C7">
        <w:rPr>
          <w:spacing w:val="-17"/>
          <w:sz w:val="20"/>
          <w:szCs w:val="20"/>
        </w:rPr>
        <w:t xml:space="preserve"> </w:t>
      </w:r>
      <w:r w:rsidRPr="002778C7">
        <w:rPr>
          <w:sz w:val="20"/>
          <w:szCs w:val="20"/>
        </w:rPr>
        <w:t>40%;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minimalny udział procentowy powierzchni biologicznie czynnej w odniesieniu do działki budowlanej – 35%, przy czym powierzchnia zielonych: tarasów i dachów może być zaliczona do powierzchni biologicznie czynnej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50%;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intensywność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zabudowy: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623"/>
          <w:tab w:val="left" w:pos="1624"/>
        </w:tabs>
        <w:spacing w:before="34"/>
        <w:ind w:left="16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minimalna – 0,5;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623"/>
          <w:tab w:val="left" w:pos="1624"/>
        </w:tabs>
        <w:ind w:left="16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– 2,6;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 zabudowy – 8,0 m od granicy z działką nr 47 (droga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powiatowa);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odległości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ją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przebudować;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 zgodne z przepisami odrębnymi odległości zabudowy od lasu – dotyczy kondygnacji podziemnych i nadziemnych.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terenu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przyjmując: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0,6 miejsca do parkowania na jeden pokój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hotelowy;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spacing w:before="34"/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apartament,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 mieszkanie związane z obsługą usług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turystyki,</w:t>
      </w:r>
    </w:p>
    <w:p w:rsidR="00936875" w:rsidRPr="002778C7" w:rsidRDefault="00253AC1" w:rsidP="0078073C">
      <w:pPr>
        <w:pStyle w:val="Akapitzlist"/>
        <w:numPr>
          <w:ilvl w:val="1"/>
          <w:numId w:val="8"/>
        </w:numPr>
        <w:tabs>
          <w:tab w:val="left" w:pos="1185"/>
        </w:tabs>
        <w:spacing w:before="34" w:line="276" w:lineRule="auto"/>
        <w:ind w:left="1184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miejsce na każde rozpoczęte 150 </w:t>
      </w:r>
      <w:r w:rsidR="007A54D6" w:rsidRPr="002778C7">
        <w:rPr>
          <w:sz w:val="20"/>
          <w:szCs w:val="20"/>
        </w:rPr>
        <w:t>m</w:t>
      </w:r>
      <w:r w:rsidR="007A54D6" w:rsidRPr="00253AC1">
        <w:rPr>
          <w:position w:val="5"/>
          <w:sz w:val="20"/>
          <w:szCs w:val="20"/>
          <w:vertAlign w:val="superscript"/>
        </w:rPr>
        <w:t>2</w:t>
      </w:r>
      <w:r w:rsidR="007A54D6" w:rsidRPr="002778C7">
        <w:rPr>
          <w:position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powierzchni użytkowej wydzielonych obiektów </w:t>
      </w:r>
      <w:r w:rsidR="007A54D6" w:rsidRPr="002778C7">
        <w:rPr>
          <w:sz w:val="20"/>
          <w:szCs w:val="20"/>
        </w:rPr>
        <w:t xml:space="preserve">handlowych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 xml:space="preserve">i usługowych, przy czym dla każdego z obiektów wymagana jest sumaryczna liczba stanowisk wynikająca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wymienionych warunków.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Zachowuje się istniejący podział działki, z uwzględnieniem §8 ust.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Stawka procentowa z tytułu opłaty, o której mowa w art. 36 ust. 4 ustawy o planowaniu i zagospodarowaniu przestrzennym – 15%.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16. Dla terenu elementarnego oznaczonego na rysunku planu miejscowego symbolem 2KP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ciąg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pieszy.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before="34" w:line="276" w:lineRule="auto"/>
        <w:ind w:right="2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fragment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ciągu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łączącego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ulicę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Wyzwolenia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plażą,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wraz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innymi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działkami ewidencyjnymi w ramach ciągu pieszego (zlokalizowanymi poza obszarem objętym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planem);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sieci 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technicznej;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szerokość w liniach rozgraniczających – zgodnie z rysunkiem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17. Dla terenu elementarnego oznaczonego na rysunku planu miejscowego symbolem 3E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infrastruktury technicznej –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formy zabudowy – budynki i inne obiekty budowlane służące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elektroenergetyce;</w:t>
      </w:r>
    </w:p>
    <w:p w:rsidR="00936875" w:rsidRPr="002778C7" w:rsidRDefault="007A54D6" w:rsidP="0078073C">
      <w:pPr>
        <w:pStyle w:val="Akapitzlist"/>
        <w:numPr>
          <w:ilvl w:val="1"/>
          <w:numId w:val="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stacja</w:t>
      </w:r>
      <w:r w:rsidRPr="002778C7">
        <w:rPr>
          <w:spacing w:val="-12"/>
          <w:sz w:val="20"/>
          <w:szCs w:val="20"/>
        </w:rPr>
        <w:t xml:space="preserve"> </w:t>
      </w:r>
      <w:proofErr w:type="spellStart"/>
      <w:r w:rsidRPr="002778C7">
        <w:rPr>
          <w:sz w:val="20"/>
          <w:szCs w:val="20"/>
        </w:rPr>
        <w:t>trafo</w:t>
      </w:r>
      <w:proofErr w:type="spellEnd"/>
      <w:r w:rsidRPr="002778C7">
        <w:rPr>
          <w:sz w:val="20"/>
          <w:szCs w:val="20"/>
        </w:rPr>
        <w:t>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 terenu - według wymogów technicznych i technologicznych.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72"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Zasady obsługi komunikacyjnej: dostęp do drogi publicznej – drogi powiatowej nr 3152Z istniejący poprzez teren 1UT 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2KP.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18. Dla terenu elementarnego oznaczonego na rysunku planu miejscowego symbolem 4KDZ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droga publiczna klasy zbiorczej (ul.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Wyzwolenia).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34"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część pasa drogowego drogi publicznej klasy zbiorczej do zagospodarowania z innymi działkami ewidencyjnymi w ul. Wyzwolenia (zlokalizowanymi poza obszarem objętym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planem);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1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urządzenia techniczne związane z prowadzeniem, zabezpieczeniem i obsługą ruchu, a także urządzenia związane z potrzebami zarządzania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drogą;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lokalizację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urządzeń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szerokość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liniach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rozgraniczających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rysunkiem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7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before="1"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19. Dla terenu elementarnego oznaczonego na rysunku planu miejscowego symbolem 5UT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zabudowy usług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hotelarskich;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budynkach usług hotelarskich dopuszcza się usługi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nieuciążliwe:</w:t>
      </w:r>
    </w:p>
    <w:p w:rsidR="00936875" w:rsidRPr="002778C7" w:rsidRDefault="007A54D6" w:rsidP="0078073C">
      <w:pPr>
        <w:pStyle w:val="Akapitzlist"/>
        <w:numPr>
          <w:ilvl w:val="2"/>
          <w:numId w:val="4"/>
        </w:numPr>
        <w:tabs>
          <w:tab w:val="left" w:pos="1553"/>
          <w:tab w:val="left" w:pos="1554"/>
        </w:tabs>
        <w:spacing w:before="3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gastronomia, odnowa biologiczna, usługi leczniczo-sanatoryjne,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kulturalne;</w:t>
      </w:r>
    </w:p>
    <w:p w:rsidR="00936875" w:rsidRPr="002778C7" w:rsidRDefault="007A54D6" w:rsidP="0078073C">
      <w:pPr>
        <w:pStyle w:val="Akapitzlist"/>
        <w:numPr>
          <w:ilvl w:val="2"/>
          <w:numId w:val="4"/>
        </w:numPr>
        <w:tabs>
          <w:tab w:val="left" w:pos="1553"/>
          <w:tab w:val="left" w:pos="1554"/>
        </w:tabs>
        <w:spacing w:before="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handel (o powierzchni sprzedaży do 100 m</w:t>
      </w:r>
      <w:r w:rsidRPr="002778C7">
        <w:rPr>
          <w:position w:val="5"/>
          <w:sz w:val="20"/>
          <w:szCs w:val="20"/>
        </w:rPr>
        <w:t>2</w:t>
      </w:r>
      <w:r w:rsidRPr="002778C7">
        <w:rPr>
          <w:sz w:val="20"/>
          <w:szCs w:val="20"/>
        </w:rPr>
        <w:t>/sklep, powierzchnia łączna do 400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m</w:t>
      </w:r>
      <w:r w:rsidRPr="002778C7">
        <w:rPr>
          <w:position w:val="5"/>
          <w:sz w:val="20"/>
          <w:szCs w:val="20"/>
        </w:rPr>
        <w:t>2</w:t>
      </w:r>
      <w:r w:rsidRPr="002778C7">
        <w:rPr>
          <w:sz w:val="20"/>
          <w:szCs w:val="20"/>
        </w:rPr>
        <w:t>);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21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 nieuciążliwych - gastronomii, odnowy biologicznej, usług leczniczo-sanatoryjnych, kulturalnych, z dopuszczeniem mieszkania właściciela i zarządcy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rozbudowę, przebudowę i nadbudowę istniejącej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 sportu i rekreacji – place zabaw, korty tenisowe, boiska, baseny otwarte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itp.;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zaplecze gospodarcze i techniczne związane z świadczonymi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usługami;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lokalizacji wolnostojących budynków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handlowych;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zlokalizowane na działce muszą nawiązywać do siebie architekturą i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detalem;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tarasów rekreacyjno-widokowych na dachach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budynków;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obiekty małej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architektury;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zieleń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urządzona;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before="34" w:line="276" w:lineRule="auto"/>
        <w:ind w:right="12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lokalizacja urządzeń i sieci infrastruktury technicznej, dojść, dojazdów i parkingów oraz miejsc selektywnej zbiórki odpadów niezbędnych do zapewnienia funkcjonowania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terenu,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before="1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kondygnacji podziemnych – dopuszcza się lokalizację górnej płaszczyzny stropu kondygnacji podziemnej do 1,0 m nad poziom terenu, z uwzględnieniem §9 ust. 4 pkt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0" w:line="227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1E0A01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wysokość zabudowy – </w:t>
      </w:r>
      <w:r w:rsidR="001E0A01" w:rsidRPr="002778C7">
        <w:rPr>
          <w:sz w:val="20"/>
          <w:szCs w:val="20"/>
        </w:rPr>
        <w:t>do 25 m n.p.m.;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geometria dachu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płaskie;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powierzchnia zabudowy w stosunku do powierzchni działki budowlanej –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40%;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minimalny udział procentowy powierzchni biologicznie czynnej w odniesieniu do działki budowlanej – 35%, przy czym powierzchnia zielonych: tarasów i dachów może być zaliczona do powierzchni biologicznie czynnej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50%;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intensywność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zabudowy:</w:t>
      </w:r>
    </w:p>
    <w:p w:rsidR="00936875" w:rsidRPr="002778C7" w:rsidRDefault="007A54D6" w:rsidP="0078073C">
      <w:pPr>
        <w:pStyle w:val="Akapitzlist"/>
        <w:numPr>
          <w:ilvl w:val="0"/>
          <w:numId w:val="3"/>
        </w:numPr>
        <w:tabs>
          <w:tab w:val="left" w:pos="1623"/>
          <w:tab w:val="left" w:pos="162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minimalna – 0,5;</w:t>
      </w:r>
    </w:p>
    <w:p w:rsidR="00936875" w:rsidRPr="002778C7" w:rsidRDefault="007A54D6" w:rsidP="0078073C">
      <w:pPr>
        <w:pStyle w:val="Akapitzlist"/>
        <w:numPr>
          <w:ilvl w:val="0"/>
          <w:numId w:val="3"/>
        </w:numPr>
        <w:tabs>
          <w:tab w:val="left" w:pos="1623"/>
          <w:tab w:val="left" w:pos="162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2,6;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239"/>
          <w:tab w:val="left" w:pos="1240"/>
        </w:tabs>
        <w:ind w:left="1239" w:hanging="40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 zabudowy - 10,0 m od granicy drogi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powiatowej;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7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zachować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odległości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ją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przebudować;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 zgodne z przepisami odrębnymi odległości zabudowy od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lasu.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terenu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przyjmując: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84"/>
          <w:tab w:val="left" w:pos="1185"/>
        </w:tabs>
        <w:spacing w:before="34" w:line="276" w:lineRule="auto"/>
        <w:ind w:left="1184" w:right="11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0,75 miejsca do parkowania na jeden pokój hotelowy (dla zabudowy istniejącej w dniu wejścia w życie planu – 0,5 miejsca do parkowania na jeden pokój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hotelowy);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84"/>
          <w:tab w:val="left" w:pos="1185"/>
        </w:tabs>
        <w:spacing w:before="0"/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apartament,</w:t>
      </w:r>
    </w:p>
    <w:p w:rsidR="00936875" w:rsidRPr="002778C7" w:rsidRDefault="002778C7" w:rsidP="0078073C">
      <w:pPr>
        <w:pStyle w:val="Akapitzlist"/>
        <w:numPr>
          <w:ilvl w:val="1"/>
          <w:numId w:val="4"/>
        </w:numPr>
        <w:tabs>
          <w:tab w:val="left" w:pos="1185"/>
        </w:tabs>
        <w:spacing w:line="276" w:lineRule="auto"/>
        <w:ind w:left="1184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miejsce na każde rozpoczęte 150 </w:t>
      </w:r>
      <w:r w:rsidR="007A54D6" w:rsidRPr="002778C7">
        <w:rPr>
          <w:sz w:val="20"/>
          <w:szCs w:val="20"/>
        </w:rPr>
        <w:t>m</w:t>
      </w:r>
      <w:r w:rsidR="007A54D6" w:rsidRPr="002778C7">
        <w:rPr>
          <w:position w:val="5"/>
          <w:sz w:val="20"/>
          <w:szCs w:val="20"/>
          <w:vertAlign w:val="superscript"/>
        </w:rPr>
        <w:t>2</w:t>
      </w:r>
      <w:r w:rsidR="007A54D6" w:rsidRPr="002778C7">
        <w:rPr>
          <w:position w:val="5"/>
          <w:sz w:val="20"/>
          <w:szCs w:val="20"/>
        </w:rPr>
        <w:t xml:space="preserve"> </w:t>
      </w:r>
      <w:r>
        <w:rPr>
          <w:sz w:val="20"/>
          <w:szCs w:val="20"/>
        </w:rPr>
        <w:t>powierzchni użytkowej wydzielonych obiektów</w:t>
      </w:r>
      <w:r w:rsidR="007A54D6" w:rsidRPr="002778C7">
        <w:rPr>
          <w:sz w:val="20"/>
          <w:szCs w:val="20"/>
        </w:rPr>
        <w:t xml:space="preserve"> handlowych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 xml:space="preserve">i usługowych, przy czym dla każdego z obiektów wymagana jest sumaryczna liczba stanowisk wynikająca </w:t>
      </w:r>
      <w:r w:rsidR="00070046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wymienionych warunków.</w:t>
      </w:r>
    </w:p>
    <w:p w:rsidR="00936875" w:rsidRPr="002778C7" w:rsidRDefault="007A54D6" w:rsidP="0078073C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Zachowuje się istniejący podział działki, z uwzględnieniem §8 ust.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Stawka procentowa z tytułu opłaty, o której mowa w art. 36 ust. 4 ustawy o planowaniu i zagospodarowaniu przestrzennym – 15%.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20. Dla terenu elementarnego oznaczonego na rysunku planu miejscowego symbolem 6E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infrastruktury technicznej –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formy zabudowy – budynki i inne obiekty budowlane służące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elektroenergetyce;</w:t>
      </w:r>
    </w:p>
    <w:p w:rsidR="00936875" w:rsidRPr="002778C7" w:rsidRDefault="007A54D6" w:rsidP="0078073C">
      <w:pPr>
        <w:pStyle w:val="Akapitzlist"/>
        <w:numPr>
          <w:ilvl w:val="1"/>
          <w:numId w:val="1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stacja</w:t>
      </w:r>
      <w:r w:rsidRPr="002778C7">
        <w:rPr>
          <w:spacing w:val="-12"/>
          <w:sz w:val="20"/>
          <w:szCs w:val="20"/>
        </w:rPr>
        <w:t xml:space="preserve"> </w:t>
      </w:r>
      <w:proofErr w:type="spellStart"/>
      <w:r w:rsidRPr="002778C7">
        <w:rPr>
          <w:sz w:val="20"/>
          <w:szCs w:val="20"/>
        </w:rPr>
        <w:t>trafo</w:t>
      </w:r>
      <w:proofErr w:type="spellEnd"/>
      <w:r w:rsidRPr="002778C7">
        <w:rPr>
          <w:sz w:val="20"/>
          <w:szCs w:val="20"/>
        </w:rPr>
        <w:t>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Parametry i wskaźniki kształtowania zabudowy oraz zagospodarowania terenu – według wymogów technicznych </w:t>
      </w:r>
      <w:r w:rsidR="00070046">
        <w:rPr>
          <w:sz w:val="20"/>
          <w:szCs w:val="20"/>
        </w:rPr>
        <w:br/>
      </w:r>
      <w:r w:rsidRPr="002778C7">
        <w:rPr>
          <w:sz w:val="20"/>
          <w:szCs w:val="20"/>
        </w:rPr>
        <w:t>i technologicznych.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obsługi komunikacyjnej: dostęp do drogi publicznej – drogi powiatowej nr 3152Z istniejący poprzez teren elementarny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5UT.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7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spacing w:before="10"/>
        <w:ind w:left="0" w:firstLine="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4</w:t>
      </w:r>
    </w:p>
    <w:p w:rsidR="00936875" w:rsidRPr="002778C7" w:rsidRDefault="007A54D6" w:rsidP="007A54D6">
      <w:pPr>
        <w:spacing w:before="34"/>
        <w:ind w:left="3562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KOŃCOWE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pStyle w:val="Tekstpodstawowy"/>
        <w:spacing w:before="1" w:line="276" w:lineRule="auto"/>
        <w:ind w:left="836" w:right="122" w:hanging="437"/>
        <w:jc w:val="both"/>
      </w:pPr>
      <w:r w:rsidRPr="002778C7">
        <w:rPr>
          <w:b/>
        </w:rPr>
        <w:t xml:space="preserve">§ 21. </w:t>
      </w:r>
      <w:r w:rsidRPr="002778C7">
        <w:t>W granicach planu traci moc uchwała Nr IX/53/2007 Rady Gminy Kołobrzeg z dnia 31 maja 2007 r. w sprawie miejscowego planu zagospodarowania przestrzennego miejscowości Dźwirzyno, gmina Kołobrzeg (Dz. Urz. Woj. Zachodniopomorskiego Nr 81, poz. 1309).</w:t>
      </w:r>
    </w:p>
    <w:p w:rsidR="00936875" w:rsidRPr="002778C7" w:rsidRDefault="007A54D6" w:rsidP="0078073C">
      <w:pPr>
        <w:pStyle w:val="Tekstpodstawowy"/>
        <w:ind w:left="399" w:firstLine="0"/>
        <w:jc w:val="both"/>
      </w:pPr>
      <w:r w:rsidRPr="002778C7">
        <w:rPr>
          <w:b/>
        </w:rPr>
        <w:t xml:space="preserve">§ 22. </w:t>
      </w:r>
      <w:r w:rsidRPr="002778C7">
        <w:t>Wykonanie uchwały powierza się Wójtowi Gminy Kołobrzeg.</w:t>
      </w:r>
    </w:p>
    <w:p w:rsidR="00936875" w:rsidRPr="002778C7" w:rsidRDefault="007A54D6" w:rsidP="0078073C">
      <w:pPr>
        <w:pStyle w:val="Tekstpodstawowy"/>
        <w:spacing w:before="34" w:line="276" w:lineRule="auto"/>
        <w:ind w:left="836" w:right="123" w:hanging="437"/>
        <w:jc w:val="both"/>
      </w:pPr>
      <w:r w:rsidRPr="002778C7">
        <w:rPr>
          <w:b/>
        </w:rPr>
        <w:t xml:space="preserve">§ 23. </w:t>
      </w:r>
      <w:r w:rsidRPr="002778C7">
        <w:t>Uchwała wchodzi w życie po upływie 14 dni od dnia jej ogłoszenia w Dzienniku Urzędowym Województwa Zachodniopomorskiego.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Tekstpodstawowy"/>
        <w:ind w:left="0" w:right="115" w:firstLine="0"/>
        <w:jc w:val="right"/>
      </w:pPr>
      <w:r w:rsidRPr="002778C7">
        <w:t>Przewodniczący Rady Gminy</w:t>
      </w:r>
    </w:p>
    <w:p w:rsidR="00567763" w:rsidRPr="002778C7" w:rsidRDefault="00567763" w:rsidP="0078073C">
      <w:pPr>
        <w:pStyle w:val="Tekstpodstawowy"/>
        <w:ind w:left="0" w:right="115" w:firstLine="0"/>
        <w:jc w:val="both"/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3A0F7B" w:rsidRDefault="00567763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lastRenderedPageBreak/>
        <w:t xml:space="preserve">Załącznik Nr </w:t>
      </w:r>
      <w:r w:rsidR="00FA4B9B">
        <w:rPr>
          <w:rFonts w:cs="Arial"/>
          <w:sz w:val="20"/>
          <w:szCs w:val="20"/>
        </w:rPr>
        <w:t>3</w:t>
      </w:r>
      <w:r w:rsidRPr="002778C7">
        <w:rPr>
          <w:rFonts w:cs="Arial"/>
          <w:sz w:val="20"/>
          <w:szCs w:val="20"/>
        </w:rPr>
        <w:t xml:space="preserve"> </w:t>
      </w:r>
      <w:r w:rsidR="003A0F7B" w:rsidRPr="002778C7">
        <w:rPr>
          <w:rFonts w:cs="Arial"/>
          <w:sz w:val="20"/>
          <w:szCs w:val="20"/>
        </w:rPr>
        <w:t xml:space="preserve">do </w:t>
      </w:r>
      <w:r w:rsidR="003A0F7B">
        <w:rPr>
          <w:rFonts w:cs="Arial"/>
          <w:sz w:val="20"/>
          <w:szCs w:val="20"/>
        </w:rPr>
        <w:t xml:space="preserve">Uchwały </w:t>
      </w:r>
      <w:r w:rsidR="003A0F7B" w:rsidRPr="003A0F7B">
        <w:rPr>
          <w:rFonts w:cs="Arial"/>
          <w:sz w:val="20"/>
          <w:szCs w:val="20"/>
        </w:rPr>
        <w:t xml:space="preserve">Nr XXXIII/298/2018 </w:t>
      </w:r>
    </w:p>
    <w:p w:rsidR="003A0F7B" w:rsidRPr="003A0F7B" w:rsidRDefault="003A0F7B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3A0F7B">
        <w:rPr>
          <w:rFonts w:cs="Arial"/>
          <w:sz w:val="20"/>
          <w:szCs w:val="20"/>
        </w:rPr>
        <w:t>Rady Gminy Kołobrzeg</w:t>
      </w:r>
    </w:p>
    <w:p w:rsidR="003A0F7B" w:rsidRPr="002778C7" w:rsidRDefault="003A0F7B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3A0F7B">
        <w:rPr>
          <w:rFonts w:cs="Arial"/>
          <w:sz w:val="20"/>
          <w:szCs w:val="20"/>
        </w:rPr>
        <w:t>z dnia 16 lutego 2018 r.</w:t>
      </w:r>
    </w:p>
    <w:p w:rsidR="00567763" w:rsidRPr="002778C7" w:rsidRDefault="00567763" w:rsidP="0078073C">
      <w:pPr>
        <w:spacing w:line="276" w:lineRule="auto"/>
        <w:jc w:val="right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ind w:firstLine="426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contextualSpacing/>
        <w:jc w:val="center"/>
        <w:rPr>
          <w:rFonts w:eastAsia="SimSun" w:cs="Arial"/>
          <w:b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b/>
          <w:snapToGrid w:val="0"/>
          <w:sz w:val="20"/>
          <w:szCs w:val="20"/>
          <w:lang w:eastAsia="zh-CN"/>
        </w:rPr>
        <w:t>Rozstrzygnięcie</w:t>
      </w:r>
    </w:p>
    <w:p w:rsidR="00567763" w:rsidRPr="002778C7" w:rsidRDefault="00567763" w:rsidP="0078073C">
      <w:pPr>
        <w:spacing w:line="276" w:lineRule="auto"/>
        <w:contextualSpacing/>
        <w:jc w:val="center"/>
        <w:rPr>
          <w:rFonts w:eastAsia="SimSun" w:cs="Arial"/>
          <w:b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b/>
          <w:snapToGrid w:val="0"/>
          <w:sz w:val="20"/>
          <w:szCs w:val="20"/>
          <w:lang w:eastAsia="zh-CN"/>
        </w:rPr>
        <w:t>o sposobie rozpatrzenia uwag wniesionych do projektu miejscowego planu zagospodarowania przestrzennego gminy Kołobrzeg w części obrębu Dźwirzyno</w:t>
      </w: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Na podstawie art. 20 ust. 1 ustawy z dnia 27 marca 2003 r. o planowaniu i zagospodarowaniu przestrzennym (tj. Dz. U z 2017 r. poz. 1073) Rada Gminy Kołobrzeg rozstrzyga, co następuje: </w:t>
      </w: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Do projektu miejscowego planu zagospodarowania przestrzennego gminy Kołobrzeg w części obrębu Dźwirzyno, wyłożonego do publicznego wglądu w dniach od 14.03.2017 r. do 14.04.2017 r., w wyznaczonym do 01.05.2017 r. terminie wniesiono </w:t>
      </w:r>
      <w:r w:rsidR="0078073C" w:rsidRPr="002778C7">
        <w:rPr>
          <w:rFonts w:cs="Arial"/>
          <w:sz w:val="20"/>
          <w:szCs w:val="20"/>
        </w:rPr>
        <w:t xml:space="preserve">jedną uwagę, która w całości została uwzględniona, </w:t>
      </w:r>
      <w:r w:rsidRPr="002778C7">
        <w:rPr>
          <w:rFonts w:cs="Arial"/>
          <w:sz w:val="20"/>
          <w:szCs w:val="20"/>
        </w:rPr>
        <w:t xml:space="preserve">w związku z czym nie rozstrzyga się o sposobie </w:t>
      </w:r>
      <w:r w:rsidR="0078073C" w:rsidRPr="002778C7">
        <w:rPr>
          <w:rFonts w:cs="Arial"/>
          <w:sz w:val="20"/>
          <w:szCs w:val="20"/>
        </w:rPr>
        <w:t xml:space="preserve">jej </w:t>
      </w:r>
      <w:r w:rsidRPr="002778C7">
        <w:rPr>
          <w:rFonts w:cs="Arial"/>
          <w:sz w:val="20"/>
          <w:szCs w:val="20"/>
        </w:rPr>
        <w:t xml:space="preserve">rozpatrzenia. 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Pr="002778C7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3A0F7B" w:rsidRDefault="00567763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Załącznik Nr </w:t>
      </w:r>
      <w:r w:rsidR="00FA4B9B">
        <w:rPr>
          <w:rFonts w:cs="Arial"/>
          <w:sz w:val="20"/>
          <w:szCs w:val="20"/>
        </w:rPr>
        <w:t>4</w:t>
      </w:r>
      <w:r w:rsidRPr="002778C7">
        <w:rPr>
          <w:rFonts w:cs="Arial"/>
          <w:sz w:val="20"/>
          <w:szCs w:val="20"/>
        </w:rPr>
        <w:t xml:space="preserve"> do </w:t>
      </w:r>
      <w:r w:rsidR="003A0F7B">
        <w:rPr>
          <w:rFonts w:cs="Arial"/>
          <w:sz w:val="20"/>
          <w:szCs w:val="20"/>
        </w:rPr>
        <w:t xml:space="preserve">Uchwały </w:t>
      </w:r>
      <w:r w:rsidR="003A0F7B" w:rsidRPr="003A0F7B">
        <w:rPr>
          <w:rFonts w:cs="Arial"/>
          <w:sz w:val="20"/>
          <w:szCs w:val="20"/>
        </w:rPr>
        <w:t xml:space="preserve">Nr XXXIII/298/2018 </w:t>
      </w:r>
    </w:p>
    <w:p w:rsidR="003A0F7B" w:rsidRPr="003A0F7B" w:rsidRDefault="003A0F7B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3A0F7B">
        <w:rPr>
          <w:rFonts w:cs="Arial"/>
          <w:sz w:val="20"/>
          <w:szCs w:val="20"/>
        </w:rPr>
        <w:t>Rady Gminy Kołobrzeg</w:t>
      </w:r>
    </w:p>
    <w:p w:rsidR="00567763" w:rsidRPr="002778C7" w:rsidRDefault="003A0F7B" w:rsidP="003A0F7B">
      <w:pPr>
        <w:spacing w:line="276" w:lineRule="auto"/>
        <w:jc w:val="right"/>
        <w:rPr>
          <w:rFonts w:cs="Arial"/>
          <w:sz w:val="20"/>
          <w:szCs w:val="20"/>
        </w:rPr>
      </w:pPr>
      <w:r w:rsidRPr="003A0F7B">
        <w:rPr>
          <w:rFonts w:cs="Arial"/>
          <w:sz w:val="20"/>
          <w:szCs w:val="20"/>
        </w:rPr>
        <w:t>z dnia 16 lutego 2018 r.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778C7">
        <w:rPr>
          <w:rFonts w:cs="Arial"/>
          <w:b/>
          <w:sz w:val="20"/>
          <w:szCs w:val="20"/>
        </w:rPr>
        <w:t>Rozstrzygnięcie</w:t>
      </w:r>
    </w:p>
    <w:p w:rsidR="00567763" w:rsidRPr="002778C7" w:rsidRDefault="00567763" w:rsidP="0078073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778C7">
        <w:rPr>
          <w:rFonts w:cs="Arial"/>
          <w:b/>
          <w:sz w:val="20"/>
          <w:szCs w:val="20"/>
        </w:rPr>
        <w:t xml:space="preserve">o sposobie realizacji zapisanych w miejscowym planie zagospodarowania przestrzennego gminy Kołobrzeg w części obrębu </w:t>
      </w:r>
      <w:r w:rsidR="0078073C" w:rsidRPr="002778C7">
        <w:rPr>
          <w:rFonts w:cs="Arial"/>
          <w:b/>
          <w:sz w:val="20"/>
          <w:szCs w:val="20"/>
        </w:rPr>
        <w:t>Dźwirzyno</w:t>
      </w:r>
      <w:r w:rsidRPr="002778C7">
        <w:rPr>
          <w:rFonts w:cs="Arial"/>
          <w:b/>
          <w:sz w:val="20"/>
          <w:szCs w:val="20"/>
        </w:rPr>
        <w:t xml:space="preserve"> inwestycji z zakresu infrastruktury technicznej, które należą do zadań własnych gminy oraz zasadach ich finansowania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567763" w:rsidRPr="002778C7" w:rsidRDefault="00567763" w:rsidP="0078073C">
      <w:pPr>
        <w:spacing w:line="276" w:lineRule="auto"/>
        <w:ind w:firstLine="426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Zgodnie z art. 20 ust. 1 ustawy z dnia 27 marca 2003 r. o planowaniu i zagospodarowaniu przestrzennym </w:t>
      </w:r>
      <w:r w:rsidRPr="002778C7">
        <w:rPr>
          <w:rFonts w:cs="Arial"/>
          <w:sz w:val="20"/>
          <w:szCs w:val="20"/>
        </w:rPr>
        <w:br/>
        <w:t>(tj. Dz. U. z 2017 poz. 1073) Rada Gminy Kołobrzeg rozstrzyga, co następuje:</w:t>
      </w: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Inwestycje z zakresu infrastruktury technicznej, służące zaspokajaniu zbiorowych potrzeb mieszkańców, stanowią, zgodnie z art. 7 ust. 1 ustawy z dnia 8 marca 1990 r. o samorządzie gminnym (Dz. U. z 2017 r. poz. 1875) zadania własne gminy.</w:t>
      </w: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Wszelkie koszty związane z budową infrastruktury drogowej i technicznej na obszarze planu poniesie właściciel terenu lub inwestor.</w:t>
      </w: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Miejscowy plan zagospodarowania przestrzennego nie zawiera zapisów o realizacji inwestycji z zakresu infrastruktury technicznej, które należą do zadań własnych Gminy Kołobrzeg, stąd też nie wystąpi konieczność ich finansowania zgodnie z przepisami ustawy o finansach publicznych.</w:t>
      </w:r>
    </w:p>
    <w:p w:rsidR="00567763" w:rsidRPr="002778C7" w:rsidRDefault="00567763" w:rsidP="0078073C">
      <w:pPr>
        <w:pStyle w:val="Tekstpodstawowy"/>
        <w:ind w:left="0" w:right="115" w:firstLine="0"/>
        <w:jc w:val="both"/>
      </w:pPr>
    </w:p>
    <w:sectPr w:rsidR="00567763" w:rsidRPr="002778C7" w:rsidSect="006D657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65F"/>
    <w:multiLevelType w:val="hybridMultilevel"/>
    <w:tmpl w:val="9D14755C"/>
    <w:lvl w:ilvl="0" w:tplc="B1161AF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DE3C373C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290C20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89529DDE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9E4A458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1543E5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D462704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BAE6796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F45AB7B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1">
    <w:nsid w:val="05762762"/>
    <w:multiLevelType w:val="hybridMultilevel"/>
    <w:tmpl w:val="49361D76"/>
    <w:lvl w:ilvl="0" w:tplc="A5088C06">
      <w:start w:val="1"/>
      <w:numFmt w:val="lowerLetter"/>
      <w:lvlText w:val="%1)"/>
      <w:lvlJc w:val="left"/>
      <w:pPr>
        <w:ind w:left="1623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2BE4137A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2" w:tplc="B1FC85F4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3" w:tplc="5F72EC08">
      <w:numFmt w:val="bullet"/>
      <w:lvlText w:val="•"/>
      <w:lvlJc w:val="left"/>
      <w:pPr>
        <w:ind w:left="3925" w:hanging="360"/>
      </w:pPr>
      <w:rPr>
        <w:rFonts w:hint="default"/>
        <w:lang w:val="pl-PL" w:eastAsia="pl-PL" w:bidi="pl-PL"/>
      </w:rPr>
    </w:lvl>
    <w:lvl w:ilvl="4" w:tplc="72C8DFF0">
      <w:numFmt w:val="bullet"/>
      <w:lvlText w:val="•"/>
      <w:lvlJc w:val="left"/>
      <w:pPr>
        <w:ind w:left="4694" w:hanging="360"/>
      </w:pPr>
      <w:rPr>
        <w:rFonts w:hint="default"/>
        <w:lang w:val="pl-PL" w:eastAsia="pl-PL" w:bidi="pl-PL"/>
      </w:rPr>
    </w:lvl>
    <w:lvl w:ilvl="5" w:tplc="B4E2F1EC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8CD4315E">
      <w:numFmt w:val="bullet"/>
      <w:lvlText w:val="•"/>
      <w:lvlJc w:val="left"/>
      <w:pPr>
        <w:ind w:left="6231" w:hanging="360"/>
      </w:pPr>
      <w:rPr>
        <w:rFonts w:hint="default"/>
        <w:lang w:val="pl-PL" w:eastAsia="pl-PL" w:bidi="pl-PL"/>
      </w:rPr>
    </w:lvl>
    <w:lvl w:ilvl="7" w:tplc="54B2B970">
      <w:numFmt w:val="bullet"/>
      <w:lvlText w:val="•"/>
      <w:lvlJc w:val="left"/>
      <w:pPr>
        <w:ind w:left="7000" w:hanging="360"/>
      </w:pPr>
      <w:rPr>
        <w:rFonts w:hint="default"/>
        <w:lang w:val="pl-PL" w:eastAsia="pl-PL" w:bidi="pl-PL"/>
      </w:rPr>
    </w:lvl>
    <w:lvl w:ilvl="8" w:tplc="6F9AEC6E">
      <w:numFmt w:val="bullet"/>
      <w:lvlText w:val="•"/>
      <w:lvlJc w:val="left"/>
      <w:pPr>
        <w:ind w:left="7769" w:hanging="360"/>
      </w:pPr>
      <w:rPr>
        <w:rFonts w:hint="default"/>
        <w:lang w:val="pl-PL" w:eastAsia="pl-PL" w:bidi="pl-PL"/>
      </w:rPr>
    </w:lvl>
  </w:abstractNum>
  <w:abstractNum w:abstractNumId="2">
    <w:nsid w:val="0E3B1997"/>
    <w:multiLevelType w:val="hybridMultilevel"/>
    <w:tmpl w:val="BBF6506A"/>
    <w:lvl w:ilvl="0" w:tplc="84E6FA5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8C4CC8FA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AD66B6E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B91C0158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EC16978C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F0A1F8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B5D8A8BE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FDF40BAC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42426950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3">
    <w:nsid w:val="0E417AF4"/>
    <w:multiLevelType w:val="hybridMultilevel"/>
    <w:tmpl w:val="82240CCE"/>
    <w:lvl w:ilvl="0" w:tplc="B7667BE2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284C565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E44CEAA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6BAC6F8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BB56426E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E7A2C7A8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041AC80C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1CB809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3FFC311A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4">
    <w:nsid w:val="119F341F"/>
    <w:multiLevelType w:val="hybridMultilevel"/>
    <w:tmpl w:val="AF82953A"/>
    <w:lvl w:ilvl="0" w:tplc="4E08F760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A0486A4A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3A809640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1E8D044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4FC861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0A387F8A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6F162F88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C156A7B0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80B297C2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5">
    <w:nsid w:val="1A7B1412"/>
    <w:multiLevelType w:val="hybridMultilevel"/>
    <w:tmpl w:val="6ABC0EC6"/>
    <w:lvl w:ilvl="0" w:tplc="1638B5FC">
      <w:start w:val="1"/>
      <w:numFmt w:val="decimal"/>
      <w:lvlText w:val="%1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3A82F5C">
      <w:numFmt w:val="bullet"/>
      <w:lvlText w:val="•"/>
      <w:lvlJc w:val="left"/>
      <w:pPr>
        <w:ind w:left="1992" w:hanging="360"/>
      </w:pPr>
      <w:rPr>
        <w:rFonts w:hint="default"/>
        <w:lang w:val="pl-PL" w:eastAsia="pl-PL" w:bidi="pl-PL"/>
      </w:rPr>
    </w:lvl>
    <w:lvl w:ilvl="2" w:tplc="4B382974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 w:tplc="AE56A2FE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56321282">
      <w:numFmt w:val="bullet"/>
      <w:lvlText w:val="•"/>
      <w:lvlJc w:val="left"/>
      <w:pPr>
        <w:ind w:left="4430" w:hanging="360"/>
      </w:pPr>
      <w:rPr>
        <w:rFonts w:hint="default"/>
        <w:lang w:val="pl-PL" w:eastAsia="pl-PL" w:bidi="pl-PL"/>
      </w:rPr>
    </w:lvl>
    <w:lvl w:ilvl="5" w:tplc="588A178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5E7AD4B6">
      <w:numFmt w:val="bullet"/>
      <w:lvlText w:val="•"/>
      <w:lvlJc w:val="left"/>
      <w:pPr>
        <w:ind w:left="6055" w:hanging="360"/>
      </w:pPr>
      <w:rPr>
        <w:rFonts w:hint="default"/>
        <w:lang w:val="pl-PL" w:eastAsia="pl-PL" w:bidi="pl-PL"/>
      </w:rPr>
    </w:lvl>
    <w:lvl w:ilvl="7" w:tplc="FE803BFA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40B00CE8">
      <w:numFmt w:val="bullet"/>
      <w:lvlText w:val="•"/>
      <w:lvlJc w:val="left"/>
      <w:pPr>
        <w:ind w:left="7681" w:hanging="360"/>
      </w:pPr>
      <w:rPr>
        <w:rFonts w:hint="default"/>
        <w:lang w:val="pl-PL" w:eastAsia="pl-PL" w:bidi="pl-PL"/>
      </w:rPr>
    </w:lvl>
  </w:abstractNum>
  <w:abstractNum w:abstractNumId="6">
    <w:nsid w:val="23E77DDC"/>
    <w:multiLevelType w:val="hybridMultilevel"/>
    <w:tmpl w:val="8090965E"/>
    <w:lvl w:ilvl="0" w:tplc="FDFC34E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F244E2BC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DCDC763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1F4CFA8C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B44845A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DBECB0B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21AAE3BA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03B8249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CC72BB3C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7">
    <w:nsid w:val="33C540D9"/>
    <w:multiLevelType w:val="hybridMultilevel"/>
    <w:tmpl w:val="F31E4904"/>
    <w:lvl w:ilvl="0" w:tplc="6AA81EFC">
      <w:start w:val="4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03C2809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5F67DA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3D243D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514789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27EB0C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82408C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9B03F5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B6647F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>
    <w:nsid w:val="3A754D9B"/>
    <w:multiLevelType w:val="hybridMultilevel"/>
    <w:tmpl w:val="D8B2DC0E"/>
    <w:lvl w:ilvl="0" w:tplc="C08A038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84B8256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B8C9D9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460838A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F4AACBA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C7B64C1E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70BA1B6C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677EC13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3C2CC5A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9">
    <w:nsid w:val="3DB91486"/>
    <w:multiLevelType w:val="hybridMultilevel"/>
    <w:tmpl w:val="26A620E2"/>
    <w:lvl w:ilvl="0" w:tplc="BFE2B43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B620648">
      <w:start w:val="1"/>
      <w:numFmt w:val="decimal"/>
      <w:lvlText w:val="%2)"/>
      <w:lvlJc w:val="left"/>
      <w:pPr>
        <w:ind w:left="1110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767277D4">
      <w:numFmt w:val="bullet"/>
      <w:lvlText w:val="•"/>
      <w:lvlJc w:val="left"/>
      <w:pPr>
        <w:ind w:left="2029" w:hanging="360"/>
      </w:pPr>
      <w:rPr>
        <w:rFonts w:hint="default"/>
        <w:lang w:val="pl-PL" w:eastAsia="pl-PL" w:bidi="pl-PL"/>
      </w:rPr>
    </w:lvl>
    <w:lvl w:ilvl="3" w:tplc="685286E4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748CC06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F96D0CA">
      <w:numFmt w:val="bullet"/>
      <w:lvlText w:val="•"/>
      <w:lvlJc w:val="left"/>
      <w:pPr>
        <w:ind w:left="4758" w:hanging="360"/>
      </w:pPr>
      <w:rPr>
        <w:rFonts w:hint="default"/>
        <w:lang w:val="pl-PL" w:eastAsia="pl-PL" w:bidi="pl-PL"/>
      </w:rPr>
    </w:lvl>
    <w:lvl w:ilvl="6" w:tplc="8626F92C">
      <w:numFmt w:val="bullet"/>
      <w:lvlText w:val="•"/>
      <w:lvlJc w:val="left"/>
      <w:pPr>
        <w:ind w:left="5668" w:hanging="360"/>
      </w:pPr>
      <w:rPr>
        <w:rFonts w:hint="default"/>
        <w:lang w:val="pl-PL" w:eastAsia="pl-PL" w:bidi="pl-PL"/>
      </w:rPr>
    </w:lvl>
    <w:lvl w:ilvl="7" w:tplc="91E47E96">
      <w:numFmt w:val="bullet"/>
      <w:lvlText w:val="•"/>
      <w:lvlJc w:val="left"/>
      <w:pPr>
        <w:ind w:left="6577" w:hanging="360"/>
      </w:pPr>
      <w:rPr>
        <w:rFonts w:hint="default"/>
        <w:lang w:val="pl-PL" w:eastAsia="pl-PL" w:bidi="pl-PL"/>
      </w:rPr>
    </w:lvl>
    <w:lvl w:ilvl="8" w:tplc="D3BA293E">
      <w:numFmt w:val="bullet"/>
      <w:lvlText w:val="•"/>
      <w:lvlJc w:val="left"/>
      <w:pPr>
        <w:ind w:left="7487" w:hanging="360"/>
      </w:pPr>
      <w:rPr>
        <w:rFonts w:hint="default"/>
        <w:lang w:val="pl-PL" w:eastAsia="pl-PL" w:bidi="pl-PL"/>
      </w:rPr>
    </w:lvl>
  </w:abstractNum>
  <w:abstractNum w:abstractNumId="10">
    <w:nsid w:val="40122DBE"/>
    <w:multiLevelType w:val="hybridMultilevel"/>
    <w:tmpl w:val="5C4AEA4E"/>
    <w:lvl w:ilvl="0" w:tplc="5A4EC5EA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b w:val="0"/>
        <w:w w:val="99"/>
        <w:sz w:val="20"/>
        <w:szCs w:val="20"/>
        <w:lang w:val="pl-PL" w:eastAsia="pl-PL" w:bidi="pl-PL"/>
      </w:rPr>
    </w:lvl>
    <w:lvl w:ilvl="1" w:tplc="51FC8D06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9583526">
      <w:start w:val="1"/>
      <w:numFmt w:val="lowerLetter"/>
      <w:lvlText w:val="%3)"/>
      <w:lvlJc w:val="left"/>
      <w:pPr>
        <w:ind w:left="154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3" w:tplc="6D54B30A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4" w:tplc="F4ACEC98">
      <w:numFmt w:val="bullet"/>
      <w:lvlText w:val="•"/>
      <w:lvlJc w:val="left"/>
      <w:pPr>
        <w:ind w:left="2649" w:hanging="360"/>
      </w:pPr>
      <w:rPr>
        <w:rFonts w:hint="default"/>
        <w:lang w:val="pl-PL" w:eastAsia="pl-PL" w:bidi="pl-PL"/>
      </w:rPr>
    </w:lvl>
    <w:lvl w:ilvl="5" w:tplc="3804521A">
      <w:numFmt w:val="bullet"/>
      <w:lvlText w:val="•"/>
      <w:lvlJc w:val="left"/>
      <w:pPr>
        <w:ind w:left="3758" w:hanging="360"/>
      </w:pPr>
      <w:rPr>
        <w:rFonts w:hint="default"/>
        <w:lang w:val="pl-PL" w:eastAsia="pl-PL" w:bidi="pl-PL"/>
      </w:rPr>
    </w:lvl>
    <w:lvl w:ilvl="6" w:tplc="1A7A226A">
      <w:numFmt w:val="bullet"/>
      <w:lvlText w:val="•"/>
      <w:lvlJc w:val="left"/>
      <w:pPr>
        <w:ind w:left="4868" w:hanging="360"/>
      </w:pPr>
      <w:rPr>
        <w:rFonts w:hint="default"/>
        <w:lang w:val="pl-PL" w:eastAsia="pl-PL" w:bidi="pl-PL"/>
      </w:rPr>
    </w:lvl>
    <w:lvl w:ilvl="7" w:tplc="9894DE32">
      <w:numFmt w:val="bullet"/>
      <w:lvlText w:val="•"/>
      <w:lvlJc w:val="left"/>
      <w:pPr>
        <w:ind w:left="5977" w:hanging="360"/>
      </w:pPr>
      <w:rPr>
        <w:rFonts w:hint="default"/>
        <w:lang w:val="pl-PL" w:eastAsia="pl-PL" w:bidi="pl-PL"/>
      </w:rPr>
    </w:lvl>
    <w:lvl w:ilvl="8" w:tplc="B322C1E2">
      <w:numFmt w:val="bullet"/>
      <w:lvlText w:val="•"/>
      <w:lvlJc w:val="left"/>
      <w:pPr>
        <w:ind w:left="7087" w:hanging="360"/>
      </w:pPr>
      <w:rPr>
        <w:rFonts w:hint="default"/>
        <w:lang w:val="pl-PL" w:eastAsia="pl-PL" w:bidi="pl-PL"/>
      </w:rPr>
    </w:lvl>
  </w:abstractNum>
  <w:abstractNum w:abstractNumId="11">
    <w:nsid w:val="41FF206D"/>
    <w:multiLevelType w:val="hybridMultilevel"/>
    <w:tmpl w:val="48C2AA3E"/>
    <w:lvl w:ilvl="0" w:tplc="BA8C2074">
      <w:start w:val="2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5D3050D2">
      <w:start w:val="1"/>
      <w:numFmt w:val="decimal"/>
      <w:lvlText w:val="%2)"/>
      <w:lvlJc w:val="left"/>
      <w:pPr>
        <w:ind w:left="1242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DD70B912">
      <w:numFmt w:val="bullet"/>
      <w:lvlText w:val="•"/>
      <w:lvlJc w:val="left"/>
      <w:pPr>
        <w:ind w:left="2136" w:hanging="360"/>
      </w:pPr>
      <w:rPr>
        <w:rFonts w:hint="default"/>
        <w:lang w:val="pl-PL" w:eastAsia="pl-PL" w:bidi="pl-PL"/>
      </w:rPr>
    </w:lvl>
    <w:lvl w:ilvl="3" w:tplc="8D92B2FA">
      <w:numFmt w:val="bullet"/>
      <w:lvlText w:val="•"/>
      <w:lvlJc w:val="left"/>
      <w:pPr>
        <w:ind w:left="3032" w:hanging="360"/>
      </w:pPr>
      <w:rPr>
        <w:rFonts w:hint="default"/>
        <w:lang w:val="pl-PL" w:eastAsia="pl-PL" w:bidi="pl-PL"/>
      </w:rPr>
    </w:lvl>
    <w:lvl w:ilvl="4" w:tplc="A7D29AB0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E50C8238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3D4E3F0E">
      <w:numFmt w:val="bullet"/>
      <w:lvlText w:val="•"/>
      <w:lvlJc w:val="left"/>
      <w:pPr>
        <w:ind w:left="5721" w:hanging="360"/>
      </w:pPr>
      <w:rPr>
        <w:rFonts w:hint="default"/>
        <w:lang w:val="pl-PL" w:eastAsia="pl-PL" w:bidi="pl-PL"/>
      </w:rPr>
    </w:lvl>
    <w:lvl w:ilvl="7" w:tplc="90BC0C1E">
      <w:numFmt w:val="bullet"/>
      <w:lvlText w:val="•"/>
      <w:lvlJc w:val="left"/>
      <w:pPr>
        <w:ind w:left="6617" w:hanging="360"/>
      </w:pPr>
      <w:rPr>
        <w:rFonts w:hint="default"/>
        <w:lang w:val="pl-PL" w:eastAsia="pl-PL" w:bidi="pl-PL"/>
      </w:rPr>
    </w:lvl>
    <w:lvl w:ilvl="8" w:tplc="2BCA6B6A">
      <w:numFmt w:val="bullet"/>
      <w:lvlText w:val="•"/>
      <w:lvlJc w:val="left"/>
      <w:pPr>
        <w:ind w:left="7513" w:hanging="360"/>
      </w:pPr>
      <w:rPr>
        <w:rFonts w:hint="default"/>
        <w:lang w:val="pl-PL" w:eastAsia="pl-PL" w:bidi="pl-PL"/>
      </w:rPr>
    </w:lvl>
  </w:abstractNum>
  <w:abstractNum w:abstractNumId="12">
    <w:nsid w:val="42E457B4"/>
    <w:multiLevelType w:val="hybridMultilevel"/>
    <w:tmpl w:val="D5128B84"/>
    <w:lvl w:ilvl="0" w:tplc="AED24FDA">
      <w:start w:val="1"/>
      <w:numFmt w:val="decimal"/>
      <w:lvlText w:val="%1."/>
      <w:lvlJc w:val="left"/>
      <w:pPr>
        <w:ind w:left="836" w:hanging="360"/>
      </w:pPr>
      <w:rPr>
        <w:rFonts w:hint="default"/>
        <w:w w:val="99"/>
        <w:lang w:val="pl-PL" w:eastAsia="pl-PL" w:bidi="pl-PL"/>
      </w:rPr>
    </w:lvl>
    <w:lvl w:ilvl="1" w:tplc="CC50C514">
      <w:numFmt w:val="bullet"/>
      <w:lvlText w:val="•"/>
      <w:lvlJc w:val="left"/>
      <w:pPr>
        <w:ind w:left="1020" w:hanging="360"/>
      </w:pPr>
      <w:rPr>
        <w:rFonts w:hint="default"/>
        <w:lang w:val="pl-PL" w:eastAsia="pl-PL" w:bidi="pl-PL"/>
      </w:rPr>
    </w:lvl>
    <w:lvl w:ilvl="2" w:tplc="35847214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074A0226">
      <w:numFmt w:val="bullet"/>
      <w:lvlText w:val="•"/>
      <w:lvlJc w:val="left"/>
      <w:pPr>
        <w:ind w:left="2861" w:hanging="360"/>
      </w:pPr>
      <w:rPr>
        <w:rFonts w:hint="default"/>
        <w:lang w:val="pl-PL" w:eastAsia="pl-PL" w:bidi="pl-PL"/>
      </w:rPr>
    </w:lvl>
    <w:lvl w:ilvl="4" w:tplc="E3141B9A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646E2BBC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5896F762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7" w:tplc="EC1694B8">
      <w:numFmt w:val="bullet"/>
      <w:lvlText w:val="•"/>
      <w:lvlJc w:val="left"/>
      <w:pPr>
        <w:ind w:left="6544" w:hanging="360"/>
      </w:pPr>
      <w:rPr>
        <w:rFonts w:hint="default"/>
        <w:lang w:val="pl-PL" w:eastAsia="pl-PL" w:bidi="pl-PL"/>
      </w:rPr>
    </w:lvl>
    <w:lvl w:ilvl="8" w:tplc="02C0E5F2">
      <w:numFmt w:val="bullet"/>
      <w:lvlText w:val="•"/>
      <w:lvlJc w:val="left"/>
      <w:pPr>
        <w:ind w:left="7464" w:hanging="360"/>
      </w:pPr>
      <w:rPr>
        <w:rFonts w:hint="default"/>
        <w:lang w:val="pl-PL" w:eastAsia="pl-PL" w:bidi="pl-PL"/>
      </w:rPr>
    </w:lvl>
  </w:abstractNum>
  <w:abstractNum w:abstractNumId="13">
    <w:nsid w:val="4B2805C6"/>
    <w:multiLevelType w:val="hybridMultilevel"/>
    <w:tmpl w:val="7C66FC92"/>
    <w:lvl w:ilvl="0" w:tplc="2382A7B4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C58D3D8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2A634A4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3" w:tplc="E1201412">
      <w:numFmt w:val="bullet"/>
      <w:lvlText w:val="•"/>
      <w:lvlJc w:val="left"/>
      <w:pPr>
        <w:ind w:left="2213" w:hanging="360"/>
      </w:pPr>
      <w:rPr>
        <w:rFonts w:hint="default"/>
        <w:lang w:val="pl-PL" w:eastAsia="pl-PL" w:bidi="pl-PL"/>
      </w:rPr>
    </w:lvl>
    <w:lvl w:ilvl="4" w:tplc="374A893E">
      <w:numFmt w:val="bullet"/>
      <w:lvlText w:val="•"/>
      <w:lvlJc w:val="left"/>
      <w:pPr>
        <w:ind w:left="3226" w:hanging="360"/>
      </w:pPr>
      <w:rPr>
        <w:rFonts w:hint="default"/>
        <w:lang w:val="pl-PL" w:eastAsia="pl-PL" w:bidi="pl-PL"/>
      </w:rPr>
    </w:lvl>
    <w:lvl w:ilvl="5" w:tplc="AE325566">
      <w:numFmt w:val="bullet"/>
      <w:lvlText w:val="•"/>
      <w:lvlJc w:val="left"/>
      <w:pPr>
        <w:ind w:left="4239" w:hanging="360"/>
      </w:pPr>
      <w:rPr>
        <w:rFonts w:hint="default"/>
        <w:lang w:val="pl-PL" w:eastAsia="pl-PL" w:bidi="pl-PL"/>
      </w:rPr>
    </w:lvl>
    <w:lvl w:ilvl="6" w:tplc="C0783E36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7" w:tplc="25E87DDC">
      <w:numFmt w:val="bullet"/>
      <w:lvlText w:val="•"/>
      <w:lvlJc w:val="left"/>
      <w:pPr>
        <w:ind w:left="6266" w:hanging="360"/>
      </w:pPr>
      <w:rPr>
        <w:rFonts w:hint="default"/>
        <w:lang w:val="pl-PL" w:eastAsia="pl-PL" w:bidi="pl-PL"/>
      </w:rPr>
    </w:lvl>
    <w:lvl w:ilvl="8" w:tplc="CEC01EF8">
      <w:numFmt w:val="bullet"/>
      <w:lvlText w:val="•"/>
      <w:lvlJc w:val="left"/>
      <w:pPr>
        <w:ind w:left="7279" w:hanging="360"/>
      </w:pPr>
      <w:rPr>
        <w:rFonts w:hint="default"/>
        <w:lang w:val="pl-PL" w:eastAsia="pl-PL" w:bidi="pl-PL"/>
      </w:rPr>
    </w:lvl>
  </w:abstractNum>
  <w:abstractNum w:abstractNumId="14">
    <w:nsid w:val="4D6C6159"/>
    <w:multiLevelType w:val="hybridMultilevel"/>
    <w:tmpl w:val="D7940272"/>
    <w:lvl w:ilvl="0" w:tplc="19320918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21CA31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67B4E8DC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FC7A6AA2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42C44E6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B4D6252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4F4CA62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7BC2555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F11A0A6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15">
    <w:nsid w:val="522059A7"/>
    <w:multiLevelType w:val="hybridMultilevel"/>
    <w:tmpl w:val="E738E906"/>
    <w:lvl w:ilvl="0" w:tplc="249E2E80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44A57"/>
    <w:multiLevelType w:val="hybridMultilevel"/>
    <w:tmpl w:val="3ED6EE20"/>
    <w:lvl w:ilvl="0" w:tplc="F864DCA0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91D0550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82963A7C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1FBE0BF4">
      <w:numFmt w:val="bullet"/>
      <w:lvlText w:val="•"/>
      <w:lvlJc w:val="left"/>
      <w:pPr>
        <w:ind w:left="2195" w:hanging="360"/>
      </w:pPr>
      <w:rPr>
        <w:rFonts w:hint="default"/>
        <w:lang w:val="pl-PL" w:eastAsia="pl-PL" w:bidi="pl-PL"/>
      </w:rPr>
    </w:lvl>
    <w:lvl w:ilvl="4" w:tplc="EDD6D94E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5" w:tplc="3F642A60">
      <w:numFmt w:val="bullet"/>
      <w:lvlText w:val="•"/>
      <w:lvlJc w:val="left"/>
      <w:pPr>
        <w:ind w:left="4227" w:hanging="360"/>
      </w:pPr>
      <w:rPr>
        <w:rFonts w:hint="default"/>
        <w:lang w:val="pl-PL" w:eastAsia="pl-PL" w:bidi="pl-PL"/>
      </w:rPr>
    </w:lvl>
    <w:lvl w:ilvl="6" w:tplc="F45E5B82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7" w:tplc="13F64A68">
      <w:numFmt w:val="bullet"/>
      <w:lvlText w:val="•"/>
      <w:lvlJc w:val="left"/>
      <w:pPr>
        <w:ind w:left="6259" w:hanging="360"/>
      </w:pPr>
      <w:rPr>
        <w:rFonts w:hint="default"/>
        <w:lang w:val="pl-PL" w:eastAsia="pl-PL" w:bidi="pl-PL"/>
      </w:rPr>
    </w:lvl>
    <w:lvl w:ilvl="8" w:tplc="FD425506">
      <w:numFmt w:val="bullet"/>
      <w:lvlText w:val="•"/>
      <w:lvlJc w:val="left"/>
      <w:pPr>
        <w:ind w:left="7274" w:hanging="360"/>
      </w:pPr>
      <w:rPr>
        <w:rFonts w:hint="default"/>
        <w:lang w:val="pl-PL" w:eastAsia="pl-PL" w:bidi="pl-PL"/>
      </w:rPr>
    </w:lvl>
  </w:abstractNum>
  <w:abstractNum w:abstractNumId="17">
    <w:nsid w:val="5F8C4B4A"/>
    <w:multiLevelType w:val="hybridMultilevel"/>
    <w:tmpl w:val="36DC122A"/>
    <w:lvl w:ilvl="0" w:tplc="2C7E611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99A80CE">
      <w:start w:val="1"/>
      <w:numFmt w:val="decimal"/>
      <w:lvlText w:val="%2)"/>
      <w:lvlJc w:val="left"/>
      <w:pPr>
        <w:ind w:left="119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F0D0E984">
      <w:start w:val="1"/>
      <w:numFmt w:val="lowerLetter"/>
      <w:lvlText w:val="%3)"/>
      <w:lvlJc w:val="left"/>
      <w:pPr>
        <w:ind w:left="153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3" w:tplc="2410C480">
      <w:numFmt w:val="bullet"/>
      <w:lvlText w:val="-"/>
      <w:lvlJc w:val="left"/>
      <w:pPr>
        <w:ind w:left="189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4" w:tplc="FB824AFA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5" w:tplc="C78857B2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6" w:tplc="B0BE0B66">
      <w:numFmt w:val="bullet"/>
      <w:lvlText w:val="•"/>
      <w:lvlJc w:val="left"/>
      <w:pPr>
        <w:ind w:left="3381" w:hanging="360"/>
      </w:pPr>
      <w:rPr>
        <w:rFonts w:hint="default"/>
        <w:lang w:val="pl-PL" w:eastAsia="pl-PL" w:bidi="pl-PL"/>
      </w:rPr>
    </w:lvl>
    <w:lvl w:ilvl="7" w:tplc="82961640">
      <w:numFmt w:val="bullet"/>
      <w:lvlText w:val="•"/>
      <w:lvlJc w:val="left"/>
      <w:pPr>
        <w:ind w:left="4862" w:hanging="360"/>
      </w:pPr>
      <w:rPr>
        <w:rFonts w:hint="default"/>
        <w:lang w:val="pl-PL" w:eastAsia="pl-PL" w:bidi="pl-PL"/>
      </w:rPr>
    </w:lvl>
    <w:lvl w:ilvl="8" w:tplc="043A9C1C">
      <w:numFmt w:val="bullet"/>
      <w:lvlText w:val="•"/>
      <w:lvlJc w:val="left"/>
      <w:pPr>
        <w:ind w:left="6343" w:hanging="360"/>
      </w:pPr>
      <w:rPr>
        <w:rFonts w:hint="default"/>
        <w:lang w:val="pl-PL" w:eastAsia="pl-PL" w:bidi="pl-PL"/>
      </w:rPr>
    </w:lvl>
  </w:abstractNum>
  <w:abstractNum w:abstractNumId="18">
    <w:nsid w:val="6FDF07C0"/>
    <w:multiLevelType w:val="hybridMultilevel"/>
    <w:tmpl w:val="E5687FCC"/>
    <w:lvl w:ilvl="0" w:tplc="2B34B6A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7F3ED6DC">
      <w:start w:val="1"/>
      <w:numFmt w:val="decimal"/>
      <w:lvlText w:val="%2)"/>
      <w:lvlJc w:val="left"/>
      <w:pPr>
        <w:ind w:left="119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782987A"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3" w:tplc="E8C8F972">
      <w:numFmt w:val="bullet"/>
      <w:lvlText w:val="•"/>
      <w:lvlJc w:val="left"/>
      <w:pPr>
        <w:ind w:left="1560" w:hanging="360"/>
      </w:pPr>
      <w:rPr>
        <w:rFonts w:hint="default"/>
        <w:lang w:val="pl-PL" w:eastAsia="pl-PL" w:bidi="pl-PL"/>
      </w:rPr>
    </w:lvl>
    <w:lvl w:ilvl="4" w:tplc="0FB28644">
      <w:numFmt w:val="bullet"/>
      <w:lvlText w:val="•"/>
      <w:lvlJc w:val="left"/>
      <w:pPr>
        <w:ind w:left="2666" w:hanging="360"/>
      </w:pPr>
      <w:rPr>
        <w:rFonts w:hint="default"/>
        <w:lang w:val="pl-PL" w:eastAsia="pl-PL" w:bidi="pl-PL"/>
      </w:rPr>
    </w:lvl>
    <w:lvl w:ilvl="5" w:tplc="79448BAC">
      <w:numFmt w:val="bullet"/>
      <w:lvlText w:val="•"/>
      <w:lvlJc w:val="left"/>
      <w:pPr>
        <w:ind w:left="3773" w:hanging="360"/>
      </w:pPr>
      <w:rPr>
        <w:rFonts w:hint="default"/>
        <w:lang w:val="pl-PL" w:eastAsia="pl-PL" w:bidi="pl-PL"/>
      </w:rPr>
    </w:lvl>
    <w:lvl w:ilvl="6" w:tplc="BBD09CF8">
      <w:numFmt w:val="bullet"/>
      <w:lvlText w:val="•"/>
      <w:lvlJc w:val="left"/>
      <w:pPr>
        <w:ind w:left="4879" w:hanging="360"/>
      </w:pPr>
      <w:rPr>
        <w:rFonts w:hint="default"/>
        <w:lang w:val="pl-PL" w:eastAsia="pl-PL" w:bidi="pl-PL"/>
      </w:rPr>
    </w:lvl>
    <w:lvl w:ilvl="7" w:tplc="61A4381E">
      <w:numFmt w:val="bullet"/>
      <w:lvlText w:val="•"/>
      <w:lvlJc w:val="left"/>
      <w:pPr>
        <w:ind w:left="5986" w:hanging="360"/>
      </w:pPr>
      <w:rPr>
        <w:rFonts w:hint="default"/>
        <w:lang w:val="pl-PL" w:eastAsia="pl-PL" w:bidi="pl-PL"/>
      </w:rPr>
    </w:lvl>
    <w:lvl w:ilvl="8" w:tplc="40020558">
      <w:numFmt w:val="bullet"/>
      <w:lvlText w:val="•"/>
      <w:lvlJc w:val="left"/>
      <w:pPr>
        <w:ind w:left="7093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2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6875"/>
    <w:rsid w:val="00063AE6"/>
    <w:rsid w:val="00070046"/>
    <w:rsid w:val="00072D26"/>
    <w:rsid w:val="001E0A01"/>
    <w:rsid w:val="00253AC1"/>
    <w:rsid w:val="002778C7"/>
    <w:rsid w:val="003A0F7B"/>
    <w:rsid w:val="00567763"/>
    <w:rsid w:val="006D657A"/>
    <w:rsid w:val="0078073C"/>
    <w:rsid w:val="007A54D6"/>
    <w:rsid w:val="008E5314"/>
    <w:rsid w:val="00936875"/>
    <w:rsid w:val="009614A8"/>
    <w:rsid w:val="009F55B4"/>
    <w:rsid w:val="00AC1008"/>
    <w:rsid w:val="00AE2894"/>
    <w:rsid w:val="00B06355"/>
    <w:rsid w:val="00C53A4F"/>
    <w:rsid w:val="00D12E18"/>
    <w:rsid w:val="00F30DEC"/>
    <w:rsid w:val="00F805E2"/>
    <w:rsid w:val="00FA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657A"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D657A"/>
    <w:pPr>
      <w:ind w:left="8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657A"/>
    <w:pPr>
      <w:ind w:left="1184" w:hanging="36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657A"/>
    <w:pPr>
      <w:spacing w:before="35"/>
      <w:ind w:left="1184" w:hanging="360"/>
    </w:pPr>
  </w:style>
  <w:style w:type="paragraph" w:customStyle="1" w:styleId="TableParagraph">
    <w:name w:val="Table Paragraph"/>
    <w:basedOn w:val="Normalny"/>
    <w:uiPriority w:val="1"/>
    <w:qFormat/>
    <w:rsid w:val="006D6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8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4" w:hanging="36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35"/>
      <w:ind w:left="118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DCD6-EA66-449D-8D41-1B098EDA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4696</Words>
  <Characters>28179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akorzel</cp:lastModifiedBy>
  <cp:revision>5</cp:revision>
  <cp:lastPrinted>2018-01-03T06:40:00Z</cp:lastPrinted>
  <dcterms:created xsi:type="dcterms:W3CDTF">2018-01-03T06:41:00Z</dcterms:created>
  <dcterms:modified xsi:type="dcterms:W3CDTF">2018-02-20T12:48:00Z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2018-01-01T00:00:00Z</vt:filetime>
  </property>
</Properties>
</file>